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31C9" w14:textId="1053426C" w:rsidR="00E42FB3" w:rsidRDefault="00F11D9A" w:rsidP="00C20BCE">
      <w:pPr>
        <w:spacing w:after="0"/>
        <w:rPr>
          <w:b/>
          <w:sz w:val="28"/>
        </w:rPr>
      </w:pPr>
      <w:r>
        <w:rPr>
          <w:b/>
          <w:sz w:val="28"/>
        </w:rPr>
        <w:t>Solution</w:t>
      </w:r>
      <w:r w:rsidR="00BA2AE1">
        <w:rPr>
          <w:b/>
          <w:sz w:val="28"/>
        </w:rPr>
        <w:t xml:space="preserve"> Development Action 2</w:t>
      </w:r>
      <w:r w:rsidR="00ED03FE">
        <w:rPr>
          <w:b/>
          <w:sz w:val="28"/>
        </w:rPr>
        <w:t xml:space="preserve"> Worksheet: </w:t>
      </w:r>
      <w:r w:rsidR="00BA2AE1">
        <w:rPr>
          <w:b/>
          <w:sz w:val="28"/>
        </w:rPr>
        <w:t>Identify Solutions</w:t>
      </w:r>
      <w:r w:rsidR="005A264F" w:rsidRPr="005A264F">
        <w:rPr>
          <w:b/>
          <w:sz w:val="28"/>
        </w:rPr>
        <w:t xml:space="preserve"> </w:t>
      </w:r>
    </w:p>
    <w:p w14:paraId="56D80D5D" w14:textId="77777777" w:rsidR="00ED03FE" w:rsidRPr="00C20BCE" w:rsidRDefault="00ED03FE" w:rsidP="00C20BCE">
      <w:pPr>
        <w:spacing w:after="0" w:line="240" w:lineRule="auto"/>
        <w:rPr>
          <w:rFonts w:ascii="Arial" w:hAnsi="Arial" w:cs="Arial"/>
          <w:color w:val="000000" w:themeColor="text1"/>
          <w:sz w:val="8"/>
        </w:rPr>
      </w:pPr>
    </w:p>
    <w:p w14:paraId="1CD58AF2" w14:textId="77777777" w:rsidR="00F11D9A" w:rsidRDefault="00F11D9A" w:rsidP="00ED03FE">
      <w:pPr>
        <w:spacing w:line="240" w:lineRule="auto"/>
        <w:rPr>
          <w:rFonts w:ascii="Arial" w:hAnsi="Arial" w:cs="Arial"/>
          <w:color w:val="000000" w:themeColor="text1"/>
          <w:sz w:val="20"/>
        </w:rPr>
      </w:pPr>
    </w:p>
    <w:p w14:paraId="4A4C30A0" w14:textId="5F274CEE" w:rsidR="00ED03FE" w:rsidRPr="00220CCD" w:rsidRDefault="00D3671D" w:rsidP="00ED03FE">
      <w:pPr>
        <w:spacing w:line="240" w:lineRule="auto"/>
        <w:rPr>
          <w:rFonts w:cs="Arial"/>
          <w:color w:val="000000" w:themeColor="text1"/>
        </w:rPr>
      </w:pPr>
      <w:r w:rsidRPr="00220CCD">
        <w:rPr>
          <w:rFonts w:cs="Arial"/>
          <w:color w:val="000000" w:themeColor="text1"/>
        </w:rPr>
        <w:t>Worksheet Last Updated</w:t>
      </w:r>
      <w:r w:rsidR="00ED03FE" w:rsidRPr="00220CCD">
        <w:rPr>
          <w:rFonts w:cs="Arial"/>
          <w:color w:val="000000" w:themeColor="text1"/>
        </w:rPr>
        <w:t xml:space="preserve"> By: ____________________________</w:t>
      </w:r>
    </w:p>
    <w:p w14:paraId="67F255F2" w14:textId="261759D1" w:rsidR="00ED03FE" w:rsidRPr="00220CCD" w:rsidRDefault="00D3671D" w:rsidP="00C20BCE">
      <w:pPr>
        <w:spacing w:after="120" w:line="240" w:lineRule="auto"/>
        <w:rPr>
          <w:rFonts w:cs="Arial"/>
          <w:color w:val="000000" w:themeColor="text1"/>
        </w:rPr>
      </w:pPr>
      <w:r w:rsidRPr="00220CCD">
        <w:rPr>
          <w:rFonts w:cs="Arial"/>
          <w:color w:val="000000" w:themeColor="text1"/>
        </w:rPr>
        <w:t>Worksheet Last Updated</w:t>
      </w:r>
      <w:r w:rsidR="00ED03FE" w:rsidRPr="00220CCD">
        <w:rPr>
          <w:rFonts w:cs="Arial"/>
          <w:color w:val="000000" w:themeColor="text1"/>
        </w:rPr>
        <w:t xml:space="preserve"> On: ____________________________</w:t>
      </w:r>
    </w:p>
    <w:p w14:paraId="4FA014E9" w14:textId="77777777" w:rsidR="00ED03FE" w:rsidRPr="00220CCD" w:rsidRDefault="00ED03FE" w:rsidP="00C20BCE">
      <w:pPr>
        <w:spacing w:after="0" w:line="240" w:lineRule="auto"/>
        <w:rPr>
          <w:rFonts w:cs="Arial"/>
          <w:color w:val="000000" w:themeColor="text1"/>
          <w:u w:val="single"/>
        </w:rPr>
      </w:pPr>
    </w:p>
    <w:p w14:paraId="5F8E0090" w14:textId="56F9CBF9" w:rsidR="00B25481" w:rsidRPr="00220CCD" w:rsidRDefault="00BA2AE1" w:rsidP="00BA2AE1">
      <w:pPr>
        <w:rPr>
          <w:b/>
          <w:bCs/>
          <w:i/>
          <w:iCs/>
        </w:rPr>
      </w:pPr>
      <w:r w:rsidRPr="00220CCD">
        <w:rPr>
          <w:u w:val="single"/>
        </w:rPr>
        <w:t>Brainstorming Solutions</w:t>
      </w:r>
      <w:r w:rsidR="00B25481" w:rsidRPr="00220CCD">
        <w:rPr>
          <w:u w:val="single"/>
        </w:rPr>
        <w:t xml:space="preserve"> </w:t>
      </w:r>
      <w:r w:rsidR="00F64235">
        <w:rPr>
          <w:u w:val="single"/>
        </w:rPr>
        <w:t>T</w:t>
      </w:r>
      <w:r w:rsidR="00B25481" w:rsidRPr="00220CCD">
        <w:rPr>
          <w:u w:val="single"/>
        </w:rPr>
        <w:t>hat Address Similarities in Gaps</w:t>
      </w:r>
      <w:r w:rsidR="00B25481" w:rsidRPr="00220CCD">
        <w:t xml:space="preserve">: </w:t>
      </w:r>
    </w:p>
    <w:p w14:paraId="067D2F08" w14:textId="6AD10D6A" w:rsidR="00BA2AE1" w:rsidRPr="00220CCD" w:rsidRDefault="00BA2AE1" w:rsidP="00220CCD">
      <w:pPr>
        <w:spacing w:after="200"/>
      </w:pPr>
      <w:r w:rsidRPr="00220CCD">
        <w:t xml:space="preserve">Using the documented similarities between resilience gaps from the </w:t>
      </w:r>
      <w:r w:rsidRPr="00220CCD">
        <w:rPr>
          <w:b/>
        </w:rPr>
        <w:t>Solution Development Action 1 Worksheet: Analyze Resilience Gaps</w:t>
      </w:r>
      <w:r w:rsidRPr="00220CCD">
        <w:t xml:space="preserve">, the resilience planning team will first brainstorm solutions that address features that are similar between gaps and document them in the </w:t>
      </w:r>
      <w:r w:rsidR="00220CCD">
        <w:t xml:space="preserve">Solutions That </w:t>
      </w:r>
      <w:r w:rsidRPr="00220CCD">
        <w:t xml:space="preserve">Address Gap Similarities table below. Is there an obvious solution that could address any of these </w:t>
      </w:r>
      <w:r w:rsidR="00B25481" w:rsidRPr="00220CCD">
        <w:t xml:space="preserve">similarities </w:t>
      </w:r>
      <w:r w:rsidRPr="00220CCD">
        <w:t>and, as a result, resolve multiple gaps? Involve operational staff, critical function owners, technical staff, and subject matter experts to brainstorm solutions.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7"/>
        <w:gridCol w:w="5145"/>
        <w:gridCol w:w="4658"/>
      </w:tblGrid>
      <w:tr w:rsidR="00BA2AE1" w:rsidRPr="000364D9" w14:paraId="13EA1A8B" w14:textId="77777777" w:rsidTr="005E04A0">
        <w:trPr>
          <w:trHeight w:val="24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EAAAA" w:themeFill="background2" w:themeFillShade="BF"/>
            <w:vAlign w:val="center"/>
          </w:tcPr>
          <w:p w14:paraId="0B81F6EA" w14:textId="70FC9B7C" w:rsidR="00BA2AE1" w:rsidRDefault="00413CA0" w:rsidP="005E04A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Solutions </w:t>
            </w:r>
            <w:r w:rsidR="00220CCD">
              <w:rPr>
                <w:rFonts w:ascii="Calibri" w:eastAsia="Times New Roman" w:hAnsi="Calibri" w:cs="Arial"/>
                <w:b/>
                <w:bCs/>
              </w:rPr>
              <w:t>T</w:t>
            </w:r>
            <w:r>
              <w:rPr>
                <w:rFonts w:ascii="Calibri" w:eastAsia="Times New Roman" w:hAnsi="Calibri" w:cs="Arial"/>
                <w:b/>
                <w:bCs/>
              </w:rPr>
              <w:t xml:space="preserve">hat </w:t>
            </w:r>
            <w:r w:rsidR="00BA2AE1">
              <w:rPr>
                <w:rFonts w:ascii="Calibri" w:eastAsia="Times New Roman" w:hAnsi="Calibri" w:cs="Arial"/>
                <w:b/>
                <w:bCs/>
              </w:rPr>
              <w:t>Address Gap Similarities</w:t>
            </w:r>
          </w:p>
        </w:tc>
      </w:tr>
      <w:tr w:rsidR="00BA2AE1" w:rsidRPr="000364D9" w14:paraId="05412CD3" w14:textId="77777777" w:rsidTr="005E04A0">
        <w:trPr>
          <w:trHeight w:val="920"/>
        </w:trPr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7090E6E" w14:textId="7D23A27B" w:rsidR="00BA2AE1" w:rsidRPr="00E42FD2" w:rsidRDefault="00BA2AE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E42FD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Gap </w:t>
            </w:r>
            <w:r w:rsidR="00B2548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Similarity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17B53D2" w14:textId="77777777" w:rsidR="00BA2AE1" w:rsidRPr="00E42FD2" w:rsidRDefault="00BA2AE1" w:rsidP="005E04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Resilience Gaps Included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34B9288" w14:textId="77777777" w:rsidR="00BA2AE1" w:rsidRDefault="00BA2AE1" w:rsidP="005E04A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Solution to Address Similarities Between Resilience Gaps</w:t>
            </w:r>
          </w:p>
        </w:tc>
      </w:tr>
      <w:tr w:rsidR="006279A9" w:rsidRPr="000364D9" w14:paraId="1CB07906" w14:textId="77777777" w:rsidTr="002128BD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13DB9" w14:textId="3B51C690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i/>
                <w:iCs/>
                <w:color w:val="FF0000"/>
                <w:sz w:val="20"/>
                <w:szCs w:val="20"/>
              </w:rPr>
              <w:t>Facility co-location of two energy gaps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9ACFB" w14:textId="25E5C72E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i/>
                <w:iCs/>
                <w:color w:val="FF0000"/>
                <w:sz w:val="20"/>
                <w:szCs w:val="20"/>
              </w:rPr>
              <w:t xml:space="preserve">1) Kiwi Building Data Center plug load lack of redundant system outage tolerance. 2) Kiwi Building Germplasm storage lack of redundant system outage tolerance 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DC80D" w14:textId="2C18DE47" w:rsidR="006279A9" w:rsidRPr="00220CCD" w:rsidRDefault="006279A9" w:rsidP="006279A9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220CCD">
              <w:rPr>
                <w:i/>
                <w:iCs/>
                <w:color w:val="FF0000"/>
                <w:sz w:val="20"/>
                <w:szCs w:val="20"/>
              </w:rPr>
              <w:t>Additional onsite fuel storage supply with refuel plan OR fuel supply contract and refuel plan</w:t>
            </w:r>
          </w:p>
        </w:tc>
      </w:tr>
      <w:tr w:rsidR="006279A9" w:rsidRPr="000364D9" w14:paraId="31519ED1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9254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6E5F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DB6C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279A9" w:rsidRPr="000364D9" w14:paraId="608CD26B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96F0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34F3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3E38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279A9" w:rsidRPr="000364D9" w14:paraId="0A3B8A62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3841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BFE0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8B8EE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279A9" w:rsidRPr="000364D9" w14:paraId="380BA8FA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9843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00D4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AB196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279A9" w:rsidRPr="000364D9" w14:paraId="00F207BC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3E5C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B2A75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8BEF1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279A9" w:rsidRPr="000364D9" w14:paraId="15C34E7A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6527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694E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C9600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6279A9" w:rsidRPr="000364D9" w14:paraId="4EFD689A" w14:textId="77777777" w:rsidTr="005E04A0">
        <w:trPr>
          <w:trHeight w:val="315"/>
        </w:trPr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654F2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58B5A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FC175" w14:textId="77777777" w:rsidR="006279A9" w:rsidRPr="00220CCD" w:rsidRDefault="006279A9" w:rsidP="006279A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14:paraId="3BF3C588" w14:textId="77777777" w:rsidR="00BA2AE1" w:rsidRDefault="00BA2AE1" w:rsidP="00BA2AE1">
      <w:pPr>
        <w:rPr>
          <w:b/>
          <w:bCs/>
          <w:i/>
          <w:iCs/>
        </w:rPr>
        <w:sectPr w:rsidR="00BA2AE1" w:rsidSect="005E04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1EDCA4D" w14:textId="19EBC961" w:rsidR="00BA2AE1" w:rsidRPr="00BA2AE1" w:rsidRDefault="00BA2AE1" w:rsidP="00BA2AE1">
      <w:pPr>
        <w:rPr>
          <w:bCs/>
          <w:iCs/>
          <w:u w:val="single"/>
        </w:rPr>
      </w:pPr>
      <w:r w:rsidRPr="00BA2AE1">
        <w:rPr>
          <w:bCs/>
          <w:iCs/>
          <w:u w:val="single"/>
        </w:rPr>
        <w:lastRenderedPageBreak/>
        <w:t>Brainstorm</w:t>
      </w:r>
      <w:r w:rsidR="00B25481">
        <w:rPr>
          <w:bCs/>
          <w:iCs/>
          <w:u w:val="single"/>
        </w:rPr>
        <w:t>ing</w:t>
      </w:r>
      <w:r w:rsidRPr="00BA2AE1">
        <w:rPr>
          <w:bCs/>
          <w:iCs/>
          <w:u w:val="single"/>
        </w:rPr>
        <w:t xml:space="preserve"> Solutions by Category</w:t>
      </w:r>
      <w:r w:rsidR="00B25481">
        <w:rPr>
          <w:bCs/>
          <w:iCs/>
        </w:rPr>
        <w:t>:</w:t>
      </w:r>
      <w:r w:rsidRPr="00BA2AE1">
        <w:rPr>
          <w:bCs/>
          <w:iCs/>
          <w:u w:val="single"/>
        </w:rPr>
        <w:t xml:space="preserve">  </w:t>
      </w:r>
    </w:p>
    <w:p w14:paraId="6A76A1EB" w14:textId="39E2656B" w:rsidR="00BA2AE1" w:rsidRDefault="00BA2AE1" w:rsidP="00220CCD">
      <w:pPr>
        <w:spacing w:after="200"/>
      </w:pPr>
      <w:r>
        <w:t xml:space="preserve">The resilience planning team should now reference all gaps from </w:t>
      </w:r>
      <w:r>
        <w:rPr>
          <w:b/>
        </w:rPr>
        <w:t>Solution Development Action 1 Worksheet: Analyze Resilience Gaps</w:t>
      </w:r>
      <w:r>
        <w:t xml:space="preserve">. Using the refined gap description, consider the type of gap and resilience attributes impacted to brainstorm solutions in the appropriate category.  Record these solutions in the table below.    </w:t>
      </w:r>
    </w:p>
    <w:tbl>
      <w:tblPr>
        <w:tblW w:w="12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4"/>
        <w:gridCol w:w="4464"/>
        <w:gridCol w:w="668"/>
        <w:gridCol w:w="576"/>
        <w:gridCol w:w="576"/>
        <w:gridCol w:w="576"/>
        <w:gridCol w:w="576"/>
        <w:gridCol w:w="576"/>
        <w:gridCol w:w="515"/>
      </w:tblGrid>
      <w:tr w:rsidR="00BA2AE1" w:rsidRPr="000364D9" w14:paraId="6D904B8E" w14:textId="77777777" w:rsidTr="005E04A0">
        <w:trPr>
          <w:cantSplit/>
          <w:trHeight w:val="179"/>
        </w:trPr>
        <w:tc>
          <w:tcPr>
            <w:tcW w:w="12991" w:type="dxa"/>
            <w:gridSpan w:val="9"/>
            <w:shd w:val="clear" w:color="auto" w:fill="AEAAAA" w:themeFill="background2" w:themeFillShade="BF"/>
            <w:vAlign w:val="center"/>
          </w:tcPr>
          <w:p w14:paraId="642EAC2E" w14:textId="472AF86A" w:rsidR="00BA2AE1" w:rsidRPr="009B2E18" w:rsidRDefault="00BA2AE1" w:rsidP="005E04A0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Solutions</w:t>
            </w:r>
            <w:r w:rsidR="00413CA0">
              <w:rPr>
                <w:rFonts w:ascii="Calibri" w:eastAsia="Times New Roman" w:hAnsi="Calibri" w:cs="Arial"/>
                <w:b/>
                <w:bCs/>
              </w:rPr>
              <w:t xml:space="preserve"> to Individual Gaps</w:t>
            </w:r>
          </w:p>
        </w:tc>
      </w:tr>
      <w:tr w:rsidR="00BA2AE1" w:rsidRPr="000364D9" w14:paraId="05B15995" w14:textId="77777777" w:rsidTr="005E04A0">
        <w:trPr>
          <w:cantSplit/>
          <w:trHeight w:val="467"/>
        </w:trPr>
        <w:tc>
          <w:tcPr>
            <w:tcW w:w="4464" w:type="dxa"/>
            <w:shd w:val="clear" w:color="auto" w:fill="E7E6E6" w:themeFill="background2"/>
            <w:vAlign w:val="center"/>
          </w:tcPr>
          <w:p w14:paraId="53AF8789" w14:textId="77777777" w:rsidR="00BA2AE1" w:rsidRPr="00E42FD2" w:rsidRDefault="00BA2AE1" w:rsidP="005E04A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 xml:space="preserve">Refined </w:t>
            </w:r>
            <w:r w:rsidRPr="00B16C08">
              <w:rPr>
                <w:rFonts w:ascii="Calibri" w:eastAsia="Times New Roman" w:hAnsi="Calibri" w:cs="Arial"/>
                <w:b/>
                <w:bCs/>
              </w:rPr>
              <w:t xml:space="preserve">Gap </w:t>
            </w:r>
            <w:r>
              <w:rPr>
                <w:rFonts w:ascii="Calibri" w:eastAsia="Times New Roman" w:hAnsi="Calibri" w:cs="Arial"/>
                <w:b/>
                <w:bCs/>
              </w:rPr>
              <w:t>Description</w:t>
            </w:r>
          </w:p>
        </w:tc>
        <w:tc>
          <w:tcPr>
            <w:tcW w:w="4464" w:type="dxa"/>
            <w:shd w:val="clear" w:color="auto" w:fill="E7E6E6" w:themeFill="background2"/>
            <w:vAlign w:val="center"/>
          </w:tcPr>
          <w:p w14:paraId="0FEF83D7" w14:textId="77777777" w:rsidR="00BA2AE1" w:rsidRPr="00E42FD2" w:rsidRDefault="00BA2AE1" w:rsidP="005E04A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B16C08">
              <w:rPr>
                <w:rFonts w:ascii="Calibri" w:eastAsia="Times New Roman" w:hAnsi="Calibri" w:cs="Arial"/>
                <w:b/>
                <w:bCs/>
              </w:rPr>
              <w:t>Solution</w:t>
            </w:r>
          </w:p>
        </w:tc>
        <w:tc>
          <w:tcPr>
            <w:tcW w:w="1820" w:type="dxa"/>
            <w:gridSpan w:val="3"/>
            <w:shd w:val="clear" w:color="auto" w:fill="E7E6E6" w:themeFill="background2"/>
            <w:vAlign w:val="center"/>
          </w:tcPr>
          <w:p w14:paraId="72A18640" w14:textId="77777777" w:rsidR="00BA2AE1" w:rsidRPr="00110279" w:rsidRDefault="00BA2AE1" w:rsidP="005E04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4449">
              <w:rPr>
                <w:rFonts w:ascii="Calibri" w:hAnsi="Calibri" w:cs="Calibri"/>
                <w:b/>
              </w:rPr>
              <w:t xml:space="preserve">Type of </w:t>
            </w:r>
            <w:r>
              <w:rPr>
                <w:rFonts w:ascii="Calibri" w:hAnsi="Calibri" w:cs="Calibri"/>
                <w:b/>
              </w:rPr>
              <w:t>Solution</w:t>
            </w:r>
          </w:p>
        </w:tc>
        <w:tc>
          <w:tcPr>
            <w:tcW w:w="2243" w:type="dxa"/>
            <w:gridSpan w:val="4"/>
            <w:shd w:val="clear" w:color="auto" w:fill="E7E6E6" w:themeFill="background2"/>
            <w:vAlign w:val="center"/>
          </w:tcPr>
          <w:p w14:paraId="39A83977" w14:textId="77777777" w:rsidR="00BA2AE1" w:rsidRPr="00110279" w:rsidRDefault="00BA2AE1" w:rsidP="005E04A0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2E18">
              <w:rPr>
                <w:rFonts w:ascii="Calibri" w:hAnsi="Calibri" w:cs="Calibri"/>
                <w:b/>
              </w:rPr>
              <w:t>Resilience Attributes Impacted</w:t>
            </w:r>
          </w:p>
        </w:tc>
      </w:tr>
      <w:tr w:rsidR="00BA2AE1" w:rsidRPr="000364D9" w14:paraId="33250C4F" w14:textId="77777777" w:rsidTr="005E04A0">
        <w:trPr>
          <w:trHeight w:val="1555"/>
        </w:trPr>
        <w:tc>
          <w:tcPr>
            <w:tcW w:w="4464" w:type="dxa"/>
            <w:shd w:val="clear" w:color="auto" w:fill="E7E6E6" w:themeFill="background2"/>
            <w:vAlign w:val="center"/>
            <w:hideMark/>
          </w:tcPr>
          <w:p w14:paraId="7FC66A50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4464" w:type="dxa"/>
            <w:shd w:val="clear" w:color="auto" w:fill="E7E6E6" w:themeFill="background2"/>
            <w:vAlign w:val="center"/>
            <w:hideMark/>
          </w:tcPr>
          <w:p w14:paraId="79E98050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668" w:type="dxa"/>
            <w:shd w:val="clear" w:color="auto" w:fill="E7E6E6" w:themeFill="background2"/>
            <w:textDirection w:val="tbRl"/>
            <w:vAlign w:val="center"/>
          </w:tcPr>
          <w:p w14:paraId="0DEC63A5" w14:textId="77777777" w:rsidR="00BA2AE1" w:rsidRPr="00E42FD2" w:rsidRDefault="00BA2AE1" w:rsidP="005E04A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110279">
              <w:rPr>
                <w:rFonts w:ascii="Calibri" w:hAnsi="Calibri" w:cs="Calibri"/>
                <w:b/>
              </w:rPr>
              <w:t>Technological</w:t>
            </w:r>
          </w:p>
        </w:tc>
        <w:tc>
          <w:tcPr>
            <w:tcW w:w="576" w:type="dxa"/>
            <w:shd w:val="clear" w:color="auto" w:fill="E7E6E6" w:themeFill="background2"/>
            <w:textDirection w:val="tbRl"/>
            <w:vAlign w:val="center"/>
          </w:tcPr>
          <w:p w14:paraId="40B757AE" w14:textId="77777777" w:rsidR="00BA2AE1" w:rsidRPr="000364D9" w:rsidRDefault="00BA2AE1" w:rsidP="005E04A0">
            <w:pPr>
              <w:jc w:val="center"/>
            </w:pPr>
            <w:r w:rsidRPr="00110279">
              <w:rPr>
                <w:rFonts w:ascii="Calibri" w:hAnsi="Calibri" w:cs="Calibri"/>
                <w:b/>
              </w:rPr>
              <w:t>Operational</w:t>
            </w:r>
          </w:p>
        </w:tc>
        <w:tc>
          <w:tcPr>
            <w:tcW w:w="576" w:type="dxa"/>
            <w:shd w:val="clear" w:color="auto" w:fill="E7E6E6" w:themeFill="background2"/>
            <w:textDirection w:val="tbRl"/>
            <w:vAlign w:val="center"/>
          </w:tcPr>
          <w:p w14:paraId="54AB8487" w14:textId="77777777" w:rsidR="00BA2AE1" w:rsidRPr="000364D9" w:rsidRDefault="00BA2AE1" w:rsidP="005E04A0">
            <w:pPr>
              <w:jc w:val="center"/>
            </w:pPr>
            <w:r w:rsidRPr="00110279">
              <w:rPr>
                <w:rFonts w:ascii="Calibri" w:hAnsi="Calibri" w:cs="Calibri"/>
                <w:b/>
              </w:rPr>
              <w:t>Institutional</w:t>
            </w:r>
          </w:p>
        </w:tc>
        <w:tc>
          <w:tcPr>
            <w:tcW w:w="576" w:type="dxa"/>
            <w:shd w:val="clear" w:color="auto" w:fill="E7E6E6" w:themeFill="background2"/>
            <w:textDirection w:val="tbRl"/>
            <w:vAlign w:val="center"/>
          </w:tcPr>
          <w:p w14:paraId="53081279" w14:textId="77777777" w:rsidR="00BA2AE1" w:rsidRPr="000364D9" w:rsidRDefault="00BA2AE1" w:rsidP="005E04A0">
            <w:pPr>
              <w:jc w:val="center"/>
            </w:pPr>
            <w:r w:rsidRPr="00110279">
              <w:rPr>
                <w:rFonts w:ascii="Calibri" w:hAnsi="Calibri" w:cs="Calibri"/>
                <w:b/>
              </w:rPr>
              <w:t>Redundant</w:t>
            </w:r>
          </w:p>
        </w:tc>
        <w:tc>
          <w:tcPr>
            <w:tcW w:w="576" w:type="dxa"/>
            <w:shd w:val="clear" w:color="auto" w:fill="E7E6E6" w:themeFill="background2"/>
            <w:textDirection w:val="tbRl"/>
            <w:vAlign w:val="center"/>
          </w:tcPr>
          <w:p w14:paraId="77B98737" w14:textId="77777777" w:rsidR="00BA2AE1" w:rsidRPr="000364D9" w:rsidRDefault="00BA2AE1" w:rsidP="005E04A0">
            <w:pPr>
              <w:jc w:val="center"/>
            </w:pPr>
            <w:r w:rsidRPr="00110279">
              <w:rPr>
                <w:rFonts w:ascii="Calibri" w:hAnsi="Calibri" w:cs="Calibri"/>
                <w:b/>
              </w:rPr>
              <w:t>Robust</w:t>
            </w:r>
          </w:p>
        </w:tc>
        <w:tc>
          <w:tcPr>
            <w:tcW w:w="576" w:type="dxa"/>
            <w:shd w:val="clear" w:color="auto" w:fill="E7E6E6" w:themeFill="background2"/>
            <w:textDirection w:val="tbRl"/>
            <w:vAlign w:val="center"/>
          </w:tcPr>
          <w:p w14:paraId="23855253" w14:textId="77777777" w:rsidR="00BA2AE1" w:rsidRPr="000364D9" w:rsidRDefault="00BA2AE1" w:rsidP="005E04A0">
            <w:pPr>
              <w:jc w:val="center"/>
            </w:pPr>
            <w:r w:rsidRPr="00110279">
              <w:rPr>
                <w:rFonts w:ascii="Calibri" w:hAnsi="Calibri" w:cs="Calibri"/>
                <w:b/>
              </w:rPr>
              <w:t>Resourceful</w:t>
            </w:r>
          </w:p>
        </w:tc>
        <w:tc>
          <w:tcPr>
            <w:tcW w:w="515" w:type="dxa"/>
            <w:shd w:val="clear" w:color="auto" w:fill="E7E6E6" w:themeFill="background2"/>
            <w:textDirection w:val="tbRl"/>
            <w:vAlign w:val="center"/>
          </w:tcPr>
          <w:p w14:paraId="4CB4120B" w14:textId="77777777" w:rsidR="00BA2AE1" w:rsidRPr="000364D9" w:rsidRDefault="00BA2AE1" w:rsidP="005E04A0">
            <w:pPr>
              <w:jc w:val="center"/>
            </w:pPr>
            <w:r w:rsidRPr="00110279">
              <w:rPr>
                <w:rFonts w:ascii="Calibri" w:hAnsi="Calibri" w:cs="Calibri"/>
                <w:b/>
              </w:rPr>
              <w:t>Recovery</w:t>
            </w:r>
          </w:p>
        </w:tc>
      </w:tr>
      <w:tr w:rsidR="00BA2AE1" w:rsidRPr="000364D9" w14:paraId="5DD8EED0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  <w:hideMark/>
          </w:tcPr>
          <w:p w14:paraId="2F560426" w14:textId="3D598C38" w:rsidR="00BA2AE1" w:rsidRPr="00220CCD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B86E25" w:rsidRPr="00220CCD">
              <w:rPr>
                <w:i/>
                <w:iCs/>
                <w:color w:val="FF0000"/>
                <w:sz w:val="20"/>
                <w:szCs w:val="20"/>
              </w:rPr>
              <w:t>Critical mission Tropical Fruit R</w:t>
            </w:r>
            <w:r w:rsidR="006279A9" w:rsidRPr="00220CCD">
              <w:rPr>
                <w:i/>
                <w:iCs/>
                <w:color w:val="FF0000"/>
                <w:sz w:val="20"/>
                <w:szCs w:val="20"/>
              </w:rPr>
              <w:t xml:space="preserve">esearch does not meet organizational requirement to be able to sustain critical </w:t>
            </w:r>
            <w:r w:rsidR="00B86E25" w:rsidRPr="00220CCD">
              <w:rPr>
                <w:i/>
                <w:iCs/>
                <w:color w:val="FF0000"/>
                <w:sz w:val="20"/>
                <w:szCs w:val="20"/>
              </w:rPr>
              <w:t>missions’</w:t>
            </w:r>
            <w:r w:rsidR="006279A9" w:rsidRPr="00220CCD">
              <w:rPr>
                <w:i/>
                <w:iCs/>
                <w:color w:val="FF0000"/>
                <w:sz w:val="20"/>
                <w:szCs w:val="20"/>
              </w:rPr>
              <w:t xml:space="preserve"> energy and water needs for a minimum of 1 week. The redundant system diesel generator that supports the critical load and function required for tropical fruit research does not have enough fuel supply for a week outage, due to a</w:t>
            </w:r>
            <w:r w:rsidR="003916EF" w:rsidRPr="00220CCD">
              <w:rPr>
                <w:i/>
                <w:iCs/>
                <w:color w:val="FF0000"/>
                <w:sz w:val="20"/>
                <w:szCs w:val="20"/>
              </w:rPr>
              <w:t>n</w:t>
            </w:r>
            <w:r w:rsidR="006279A9" w:rsidRPr="00220CCD">
              <w:rPr>
                <w:i/>
                <w:iCs/>
                <w:color w:val="FF0000"/>
                <w:sz w:val="20"/>
                <w:szCs w:val="20"/>
              </w:rPr>
              <w:t xml:space="preserve"> inadequate onsite fuel storage. This gap affects fruit researchers and analysts in the Kiwi Building Data Center and should be resolved in the short term (1-6 months). 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11E9EA4B" w14:textId="0A269672" w:rsidR="00BA2AE1" w:rsidRPr="00220CCD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20CCD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  <w:r w:rsidR="006279A9" w:rsidRPr="00220CCD">
              <w:rPr>
                <w:i/>
                <w:iCs/>
                <w:color w:val="FF0000"/>
                <w:sz w:val="20"/>
                <w:szCs w:val="20"/>
              </w:rPr>
              <w:t>Additional onsite fuel storage supply with refuel plan</w:t>
            </w:r>
          </w:p>
        </w:tc>
        <w:tc>
          <w:tcPr>
            <w:tcW w:w="668" w:type="dxa"/>
            <w:vAlign w:val="center"/>
          </w:tcPr>
          <w:p w14:paraId="55CDF378" w14:textId="056651E8" w:rsidR="00BA2AE1" w:rsidRPr="00374AC4" w:rsidRDefault="006279A9" w:rsidP="005E04A0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</w:rPr>
            </w:pPr>
            <w:r w:rsidRPr="00374AC4">
              <w:rPr>
                <w:rFonts w:ascii="Calibri" w:eastAsia="Times New Roman" w:hAnsi="Calibri" w:cs="Arial"/>
                <w:color w:val="FF0000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9023396" w14:textId="4160F77D" w:rsidR="00BA2AE1" w:rsidRPr="00374AC4" w:rsidRDefault="006279A9" w:rsidP="005E04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74AC4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4481D809" w14:textId="77777777" w:rsidR="00BA2AE1" w:rsidRPr="00374AC4" w:rsidRDefault="00BA2AE1" w:rsidP="005E04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4449A33E" w14:textId="400357D1" w:rsidR="00BA2AE1" w:rsidRPr="00374AC4" w:rsidRDefault="006279A9" w:rsidP="005E04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74AC4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808506C" w14:textId="77777777" w:rsidR="00BA2AE1" w:rsidRPr="00374AC4" w:rsidRDefault="00BA2AE1" w:rsidP="005E04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vAlign w:val="center"/>
          </w:tcPr>
          <w:p w14:paraId="52022356" w14:textId="5313629C" w:rsidR="00BA2AE1" w:rsidRPr="00374AC4" w:rsidRDefault="00FD7D9A" w:rsidP="005E04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74AC4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15" w:type="dxa"/>
            <w:vAlign w:val="center"/>
          </w:tcPr>
          <w:p w14:paraId="37128DDB" w14:textId="29BADEB4" w:rsidR="00BA2AE1" w:rsidRPr="00374AC4" w:rsidRDefault="00FD7D9A" w:rsidP="005E04A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74AC4">
              <w:rPr>
                <w:color w:val="FF0000"/>
                <w:sz w:val="20"/>
                <w:szCs w:val="20"/>
              </w:rPr>
              <w:t>X</w:t>
            </w:r>
          </w:p>
        </w:tc>
      </w:tr>
      <w:tr w:rsidR="00BA2AE1" w:rsidRPr="000364D9" w14:paraId="583F4928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  <w:hideMark/>
          </w:tcPr>
          <w:p w14:paraId="664E7CC0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6C14ADC2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668" w:type="dxa"/>
            <w:vAlign w:val="center"/>
          </w:tcPr>
          <w:p w14:paraId="705AEDC6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B60C056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79BF835F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431FD583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374EE220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6845AFCD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15" w:type="dxa"/>
            <w:vAlign w:val="center"/>
          </w:tcPr>
          <w:p w14:paraId="547644EE" w14:textId="77777777" w:rsidR="00BA2AE1" w:rsidRPr="000364D9" w:rsidRDefault="00BA2AE1" w:rsidP="005E04A0">
            <w:pPr>
              <w:spacing w:after="0" w:line="240" w:lineRule="auto"/>
            </w:pPr>
          </w:p>
        </w:tc>
      </w:tr>
      <w:tr w:rsidR="00BA2AE1" w:rsidRPr="000364D9" w14:paraId="72BABE18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  <w:hideMark/>
          </w:tcPr>
          <w:p w14:paraId="0EE6768D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3A5EABBB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668" w:type="dxa"/>
            <w:vAlign w:val="center"/>
          </w:tcPr>
          <w:p w14:paraId="5CEEFABA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7158A96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70726E3C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70FBFA84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0DC68A93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14BEDD2E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15" w:type="dxa"/>
            <w:vAlign w:val="center"/>
          </w:tcPr>
          <w:p w14:paraId="7937F4E4" w14:textId="77777777" w:rsidR="00BA2AE1" w:rsidRPr="000364D9" w:rsidRDefault="00BA2AE1" w:rsidP="005E04A0">
            <w:pPr>
              <w:spacing w:after="0" w:line="240" w:lineRule="auto"/>
            </w:pPr>
          </w:p>
        </w:tc>
      </w:tr>
      <w:tr w:rsidR="00BA2AE1" w:rsidRPr="000364D9" w14:paraId="1938EEC5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  <w:hideMark/>
          </w:tcPr>
          <w:p w14:paraId="011B94E3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1A2B66D0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668" w:type="dxa"/>
            <w:vAlign w:val="center"/>
          </w:tcPr>
          <w:p w14:paraId="0E1402B2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0B8306F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2526D247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5D5DB59C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6F0D12A0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63906A53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15" w:type="dxa"/>
            <w:vAlign w:val="center"/>
          </w:tcPr>
          <w:p w14:paraId="364BE911" w14:textId="77777777" w:rsidR="00BA2AE1" w:rsidRPr="000364D9" w:rsidRDefault="00BA2AE1" w:rsidP="005E04A0">
            <w:pPr>
              <w:spacing w:after="0" w:line="240" w:lineRule="auto"/>
            </w:pPr>
          </w:p>
        </w:tc>
      </w:tr>
      <w:tr w:rsidR="00BA2AE1" w:rsidRPr="000364D9" w14:paraId="063F882A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  <w:hideMark/>
          </w:tcPr>
          <w:p w14:paraId="382CBAE2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4464" w:type="dxa"/>
            <w:shd w:val="clear" w:color="auto" w:fill="auto"/>
            <w:vAlign w:val="center"/>
            <w:hideMark/>
          </w:tcPr>
          <w:p w14:paraId="270A363C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2FD2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668" w:type="dxa"/>
            <w:vAlign w:val="center"/>
          </w:tcPr>
          <w:p w14:paraId="4DCF763C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AF7BEDB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7D618FFA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22DD6168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21EEA8BA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5BCBA828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15" w:type="dxa"/>
            <w:vAlign w:val="center"/>
          </w:tcPr>
          <w:p w14:paraId="2EFEF667" w14:textId="77777777" w:rsidR="00BA2AE1" w:rsidRPr="000364D9" w:rsidRDefault="00BA2AE1" w:rsidP="005E04A0">
            <w:pPr>
              <w:spacing w:after="0" w:line="240" w:lineRule="auto"/>
            </w:pPr>
          </w:p>
        </w:tc>
      </w:tr>
      <w:tr w:rsidR="00BA2AE1" w:rsidRPr="000364D9" w14:paraId="3E544BA8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</w:tcPr>
          <w:p w14:paraId="4E577651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14:paraId="0C62F113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AC70BBE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11A4772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7833CEEE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76967D97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065CF0E3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3691DEA6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15" w:type="dxa"/>
            <w:vAlign w:val="center"/>
          </w:tcPr>
          <w:p w14:paraId="15176A43" w14:textId="77777777" w:rsidR="00BA2AE1" w:rsidRPr="000364D9" w:rsidRDefault="00BA2AE1" w:rsidP="005E04A0">
            <w:pPr>
              <w:spacing w:after="0" w:line="240" w:lineRule="auto"/>
            </w:pPr>
          </w:p>
        </w:tc>
      </w:tr>
      <w:tr w:rsidR="00BA2AE1" w:rsidRPr="000364D9" w14:paraId="628DC987" w14:textId="77777777" w:rsidTr="005E04A0">
        <w:trPr>
          <w:trHeight w:val="315"/>
        </w:trPr>
        <w:tc>
          <w:tcPr>
            <w:tcW w:w="4464" w:type="dxa"/>
            <w:shd w:val="clear" w:color="auto" w:fill="auto"/>
            <w:vAlign w:val="center"/>
          </w:tcPr>
          <w:p w14:paraId="42E7322A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4464" w:type="dxa"/>
            <w:shd w:val="clear" w:color="auto" w:fill="auto"/>
            <w:vAlign w:val="center"/>
          </w:tcPr>
          <w:p w14:paraId="3A7C4FB2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E0A42B8" w14:textId="77777777" w:rsidR="00BA2AE1" w:rsidRPr="00E42FD2" w:rsidRDefault="00BA2AE1" w:rsidP="005E04A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AAE6BA0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1063D0B7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604AAC0F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2BB7A267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76" w:type="dxa"/>
            <w:vAlign w:val="center"/>
          </w:tcPr>
          <w:p w14:paraId="3EDE12EC" w14:textId="77777777" w:rsidR="00BA2AE1" w:rsidRPr="000364D9" w:rsidRDefault="00BA2AE1" w:rsidP="005E04A0">
            <w:pPr>
              <w:spacing w:after="0" w:line="240" w:lineRule="auto"/>
            </w:pPr>
          </w:p>
        </w:tc>
        <w:tc>
          <w:tcPr>
            <w:tcW w:w="515" w:type="dxa"/>
            <w:vAlign w:val="center"/>
          </w:tcPr>
          <w:p w14:paraId="6888C8D7" w14:textId="77777777" w:rsidR="00BA2AE1" w:rsidRPr="000364D9" w:rsidRDefault="00BA2AE1" w:rsidP="005E04A0">
            <w:pPr>
              <w:spacing w:after="0" w:line="240" w:lineRule="auto"/>
            </w:pPr>
          </w:p>
        </w:tc>
      </w:tr>
    </w:tbl>
    <w:p w14:paraId="1CC260A5" w14:textId="77777777" w:rsidR="00E42FB3" w:rsidRDefault="00E42FB3" w:rsidP="00374AC4">
      <w:pPr>
        <w:pStyle w:val="WorksheetText"/>
      </w:pPr>
    </w:p>
    <w:sectPr w:rsidR="00E42FB3" w:rsidSect="000E44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53877" w14:textId="77777777" w:rsidR="00EE5665" w:rsidRDefault="00EE5665" w:rsidP="00E42FB3">
      <w:pPr>
        <w:spacing w:after="0" w:line="240" w:lineRule="auto"/>
      </w:pPr>
      <w:r>
        <w:separator/>
      </w:r>
    </w:p>
  </w:endnote>
  <w:endnote w:type="continuationSeparator" w:id="0">
    <w:p w14:paraId="2984A49C" w14:textId="77777777" w:rsidR="00EE5665" w:rsidRDefault="00EE5665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0063" w14:textId="77777777" w:rsidR="003F1BEE" w:rsidRDefault="003F1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06D01" w14:textId="77777777" w:rsidR="003F1BEE" w:rsidRDefault="003F1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E254" w14:textId="77777777" w:rsidR="003F1BEE" w:rsidRDefault="003F1BE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C22F" w14:textId="77777777" w:rsidR="00ED03FE" w:rsidRDefault="00ED03F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70CE45" w14:textId="40413723" w:rsidR="00E42FB3" w:rsidRDefault="00E42F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5F3A6" w14:textId="30F5D65E" w:rsidR="00E42FB3" w:rsidRDefault="00E42FB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89E5" w14:textId="77777777" w:rsidR="00ED03FE" w:rsidRDefault="00ED0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98AF" w14:textId="77777777" w:rsidR="00EE5665" w:rsidRDefault="00EE5665" w:rsidP="00E42FB3">
      <w:pPr>
        <w:spacing w:after="0" w:line="240" w:lineRule="auto"/>
      </w:pPr>
      <w:r>
        <w:separator/>
      </w:r>
    </w:p>
  </w:footnote>
  <w:footnote w:type="continuationSeparator" w:id="0">
    <w:p w14:paraId="47514F5F" w14:textId="77777777" w:rsidR="00EE5665" w:rsidRDefault="00EE5665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16C9" w14:textId="77777777" w:rsidR="003F1BEE" w:rsidRDefault="003F1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D29DE" w14:textId="77777777" w:rsidR="003F1BEE" w:rsidRDefault="003F1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1DFB" w14:textId="77777777" w:rsidR="003F1BEE" w:rsidRDefault="003F1B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AFBA" w14:textId="77777777" w:rsidR="00ED03FE" w:rsidRDefault="00ED03F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F474" w14:textId="77777777" w:rsidR="00E42FB3" w:rsidRDefault="00E42FB3">
    <w:pPr>
      <w:pStyle w:val="Header"/>
    </w:pPr>
    <w:bookmarkStart w:id="0" w:name="_GoBack"/>
    <w:r>
      <w:rPr>
        <w:noProof/>
      </w:rPr>
      <w:drawing>
        <wp:inline distT="0" distB="0" distL="0" distR="0" wp14:anchorId="59BD831F" wp14:editId="68CF8C76">
          <wp:extent cx="1304925" cy="4591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14:paraId="7491B6B1" w14:textId="77777777" w:rsidR="00E42FB3" w:rsidRDefault="00E42FB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A1D7D" w14:textId="77777777" w:rsidR="00ED03FE" w:rsidRDefault="00ED0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030D"/>
    <w:multiLevelType w:val="hybridMultilevel"/>
    <w:tmpl w:val="8364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A5845"/>
    <w:rsid w:val="000E4499"/>
    <w:rsid w:val="000F4D3B"/>
    <w:rsid w:val="0012456A"/>
    <w:rsid w:val="001722FF"/>
    <w:rsid w:val="00174DCD"/>
    <w:rsid w:val="001A791D"/>
    <w:rsid w:val="001E4B37"/>
    <w:rsid w:val="00220CCD"/>
    <w:rsid w:val="00274C6F"/>
    <w:rsid w:val="002930B0"/>
    <w:rsid w:val="00295258"/>
    <w:rsid w:val="00361DCA"/>
    <w:rsid w:val="00374AC4"/>
    <w:rsid w:val="003916EF"/>
    <w:rsid w:val="003A56E9"/>
    <w:rsid w:val="003F1BEE"/>
    <w:rsid w:val="00413CA0"/>
    <w:rsid w:val="00474ED5"/>
    <w:rsid w:val="005207E1"/>
    <w:rsid w:val="005A264F"/>
    <w:rsid w:val="005C260F"/>
    <w:rsid w:val="006279A9"/>
    <w:rsid w:val="00643927"/>
    <w:rsid w:val="006A46AE"/>
    <w:rsid w:val="006F13C9"/>
    <w:rsid w:val="00755CD0"/>
    <w:rsid w:val="007722E6"/>
    <w:rsid w:val="0078033B"/>
    <w:rsid w:val="00860920"/>
    <w:rsid w:val="009C645D"/>
    <w:rsid w:val="00B25481"/>
    <w:rsid w:val="00B62C95"/>
    <w:rsid w:val="00B86E25"/>
    <w:rsid w:val="00BA2AE1"/>
    <w:rsid w:val="00BB04E4"/>
    <w:rsid w:val="00C20BCE"/>
    <w:rsid w:val="00C66EEB"/>
    <w:rsid w:val="00C84B4E"/>
    <w:rsid w:val="00D16D56"/>
    <w:rsid w:val="00D3671D"/>
    <w:rsid w:val="00E127B4"/>
    <w:rsid w:val="00E22BA3"/>
    <w:rsid w:val="00E42FB3"/>
    <w:rsid w:val="00E46A7A"/>
    <w:rsid w:val="00ED03FE"/>
    <w:rsid w:val="00EE5665"/>
    <w:rsid w:val="00F05BE8"/>
    <w:rsid w:val="00F11D9A"/>
    <w:rsid w:val="00F64235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C6338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29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0B0"/>
    <w:rPr>
      <w:rFonts w:ascii="Segoe UI" w:hAnsi="Segoe UI" w:cs="Segoe UI"/>
      <w:sz w:val="18"/>
      <w:szCs w:val="18"/>
    </w:rPr>
  </w:style>
  <w:style w:type="paragraph" w:customStyle="1" w:styleId="WorksheetText">
    <w:name w:val="Worksheet Text"/>
    <w:basedOn w:val="Normal"/>
    <w:qFormat/>
    <w:rsid w:val="00F11D9A"/>
    <w:pPr>
      <w:keepNext/>
      <w:spacing w:after="0" w:line="240" w:lineRule="auto"/>
      <w:outlineLvl w:val="3"/>
    </w:pPr>
  </w:style>
  <w:style w:type="paragraph" w:styleId="ListParagraph">
    <w:name w:val="List Paragraph"/>
    <w:basedOn w:val="Normal"/>
    <w:uiPriority w:val="34"/>
    <w:qFormat/>
    <w:rsid w:val="00F11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1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1C78D-B599-4E15-AB8B-67E9A1794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EDF79-45DE-44D9-80A7-7E89314C85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BDE7C2-AAA2-4CDD-8CC2-877A680DC754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44B84CE-A590-490E-95B6-CEC8FDC5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8</cp:revision>
  <cp:lastPrinted>2020-02-03T14:58:00Z</cp:lastPrinted>
  <dcterms:created xsi:type="dcterms:W3CDTF">2020-03-11T19:45:00Z</dcterms:created>
  <dcterms:modified xsi:type="dcterms:W3CDTF">2020-05-23T15:11:00Z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