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B3" w:rsidRPr="00AD728B" w:rsidRDefault="006E2BC7">
      <w:pPr>
        <w:rPr>
          <w:b/>
          <w:sz w:val="28"/>
        </w:rPr>
      </w:pPr>
      <w:r w:rsidRPr="00AD728B">
        <w:rPr>
          <w:b/>
          <w:sz w:val="28"/>
        </w:rPr>
        <w:t xml:space="preserve">TRN Resource: </w:t>
      </w:r>
      <w:r w:rsidR="009D20D6">
        <w:rPr>
          <w:b/>
          <w:sz w:val="28"/>
        </w:rPr>
        <w:t xml:space="preserve">Relationship </w:t>
      </w:r>
      <w:r w:rsidR="0080547B">
        <w:rPr>
          <w:b/>
          <w:sz w:val="28"/>
        </w:rPr>
        <w:t>B</w:t>
      </w:r>
      <w:r w:rsidR="009D20D6">
        <w:rPr>
          <w:b/>
          <w:sz w:val="28"/>
        </w:rPr>
        <w:t>etween Risk and Resilience</w:t>
      </w:r>
    </w:p>
    <w:p w:rsidR="00426155" w:rsidRPr="00426155" w:rsidRDefault="002D12A6" w:rsidP="00426155">
      <w:pPr>
        <w:pStyle w:val="Heading2"/>
        <w:rPr>
          <w:lang w:eastAsia="zh-CN"/>
        </w:rPr>
      </w:pPr>
      <w:r>
        <w:rPr>
          <w:lang w:eastAsia="zh-CN"/>
        </w:rPr>
        <w:t>Mapping of Resilience Attributes to Risk</w:t>
      </w:r>
    </w:p>
    <w:p w:rsidR="00D30700" w:rsidRDefault="00A82C9C" w:rsidP="00A95A8E">
      <w:pPr>
        <w:rPr>
          <w:lang w:eastAsia="zh-CN"/>
        </w:rPr>
      </w:pPr>
      <w:r>
        <w:rPr>
          <w:lang w:eastAsia="zh-CN"/>
        </w:rPr>
        <w:t>Risk is the “relationship between a particular hazard or threat that might degrade the performance of infrastructure and the consequences that might result from a degradation of performance</w:t>
      </w:r>
      <w:r w:rsidR="007A13C0">
        <w:rPr>
          <w:lang w:eastAsia="zh-CN"/>
        </w:rPr>
        <w:t>.</w:t>
      </w:r>
      <w:r w:rsidR="007A13C0">
        <w:rPr>
          <w:rStyle w:val="FootnoteReference"/>
          <w:lang w:eastAsia="zh-CN"/>
        </w:rPr>
        <w:footnoteReference w:id="2"/>
      </w:r>
      <w:r>
        <w:rPr>
          <w:lang w:eastAsia="zh-CN"/>
        </w:rPr>
        <w:t xml:space="preserve">” </w:t>
      </w:r>
      <w:r w:rsidR="00A95A8E">
        <w:t xml:space="preserve">Risk is determined through analysis of: </w:t>
      </w:r>
      <w:r w:rsidR="0080547B">
        <w:t>(</w:t>
      </w:r>
      <w:r w:rsidR="00A95A8E">
        <w:t xml:space="preserve">1) the probabilities of different types of hazards or threats occurring (H); </w:t>
      </w:r>
      <w:r w:rsidR="0080547B">
        <w:t>(</w:t>
      </w:r>
      <w:r w:rsidR="00A95A8E">
        <w:t>2) the probabilities that the site’s</w:t>
      </w:r>
      <w:r w:rsidR="005126A3">
        <w:t xml:space="preserve"> vulnerabilities would prevent the</w:t>
      </w:r>
      <w:r w:rsidR="00A95A8E">
        <w:t xml:space="preserve"> site from withstanding those hazards </w:t>
      </w:r>
      <w:r w:rsidR="00196EA3">
        <w:t xml:space="preserve">and threats </w:t>
      </w:r>
      <w:r w:rsidR="00A95A8E">
        <w:t xml:space="preserve">and maintaining critical missions (V); and </w:t>
      </w:r>
      <w:r w:rsidR="0080547B">
        <w:t>(</w:t>
      </w:r>
      <w:r w:rsidR="00A95A8E">
        <w:t xml:space="preserve">3) the consequences should the hazards </w:t>
      </w:r>
      <w:r w:rsidR="00196EA3">
        <w:t xml:space="preserve">or threats </w:t>
      </w:r>
      <w:r w:rsidR="00A95A8E">
        <w:t xml:space="preserve">occur and the site’s protective systems fail (C). </w:t>
      </w:r>
      <w:r w:rsidR="005126A3">
        <w:t>At a high level, r</w:t>
      </w:r>
      <w:r>
        <w:rPr>
          <w:lang w:eastAsia="zh-CN"/>
        </w:rPr>
        <w:t xml:space="preserve">isk is calculated by multiplying the </w:t>
      </w:r>
      <w:r w:rsidR="00906FEA">
        <w:rPr>
          <w:lang w:eastAsia="zh-CN"/>
        </w:rPr>
        <w:t xml:space="preserve">hazards or </w:t>
      </w:r>
      <w:r>
        <w:rPr>
          <w:lang w:eastAsia="zh-CN"/>
        </w:rPr>
        <w:t>threats, vulnerabilities, and consequences</w:t>
      </w:r>
      <w:r w:rsidR="00D30700">
        <w:rPr>
          <w:lang w:eastAsia="zh-CN"/>
        </w:rPr>
        <w:t>:</w:t>
      </w:r>
    </w:p>
    <w:p w:rsidR="00D30700" w:rsidRPr="00B57AA3" w:rsidRDefault="00A95A8E" w:rsidP="009017AC">
      <w:pPr>
        <w:rPr>
          <w:rFonts w:eastAsiaTheme="minorEastAsia"/>
          <w:lang w:eastAsia="zh-CN"/>
        </w:rPr>
      </w:pPr>
      <m:oMathPara>
        <m:oMath>
          <m:r>
            <w:rPr>
              <w:rFonts w:ascii="Cambria Math" w:hAnsi="Cambria Math"/>
              <w:lang w:eastAsia="zh-CN"/>
            </w:rPr>
            <m:t xml:space="preserve">Risk </m:t>
          </m:r>
          <m:d>
            <m:dPr>
              <m:ctrlPr>
                <w:rPr>
                  <w:rFonts w:ascii="Cambria Math" w:hAnsi="Cambria Math"/>
                  <w:i/>
                  <w:lang w:eastAsia="zh-CN"/>
                </w:rPr>
              </m:ctrlPr>
            </m:dPr>
            <m:e>
              <m:r>
                <w:rPr>
                  <w:rFonts w:ascii="Cambria Math" w:hAnsi="Cambria Math"/>
                  <w:lang w:eastAsia="zh-CN"/>
                </w:rPr>
                <m:t>R</m:t>
              </m:r>
            </m:e>
          </m:d>
          <m:r>
            <w:rPr>
              <w:rFonts w:ascii="Cambria Math" w:hAnsi="Cambria Math"/>
              <w:lang w:eastAsia="zh-CN"/>
            </w:rPr>
            <m:t xml:space="preserve">=Hazards and Threats </m:t>
          </m:r>
          <m:d>
            <m:dPr>
              <m:ctrlPr>
                <w:rPr>
                  <w:rFonts w:ascii="Cambria Math" w:hAnsi="Cambria Math"/>
                  <w:i/>
                  <w:lang w:eastAsia="zh-CN"/>
                </w:rPr>
              </m:ctrlPr>
            </m:dPr>
            <m:e>
              <m:r>
                <w:rPr>
                  <w:rFonts w:ascii="Cambria Math" w:hAnsi="Cambria Math"/>
                  <w:lang w:eastAsia="zh-CN"/>
                </w:rPr>
                <m:t>H</m:t>
              </m:r>
            </m:e>
          </m:d>
          <m:r>
            <w:rPr>
              <w:rFonts w:ascii="Cambria Math" w:hAnsi="Cambria Math"/>
              <w:lang w:eastAsia="zh-CN"/>
            </w:rPr>
            <m:t xml:space="preserve">*Vulnerability </m:t>
          </m:r>
          <m:d>
            <m:dPr>
              <m:ctrlPr>
                <w:rPr>
                  <w:rFonts w:ascii="Cambria Math" w:hAnsi="Cambria Math"/>
                  <w:i/>
                  <w:lang w:eastAsia="zh-CN"/>
                </w:rPr>
              </m:ctrlPr>
            </m:dPr>
            <m:e>
              <m:r>
                <w:rPr>
                  <w:rFonts w:ascii="Cambria Math" w:hAnsi="Cambria Math"/>
                  <w:lang w:eastAsia="zh-CN"/>
                </w:rPr>
                <m:t>V</m:t>
              </m:r>
            </m:e>
          </m:d>
          <m:r>
            <w:rPr>
              <w:rFonts w:ascii="Cambria Math" w:hAnsi="Cambria Math"/>
              <w:lang w:eastAsia="zh-CN"/>
            </w:rPr>
            <m:t>*Consequence(C)</m:t>
          </m:r>
        </m:oMath>
      </m:oMathPara>
    </w:p>
    <w:p w:rsidR="009017AC" w:rsidRDefault="005126A3" w:rsidP="009017AC">
      <w:r>
        <w:t>Resilience</w:t>
      </w:r>
      <w:r w:rsidR="00B57AA3">
        <w:t xml:space="preserve"> is </w:t>
      </w:r>
      <w:r w:rsidR="00B57AA3" w:rsidRPr="00026D8F">
        <w:rPr>
          <w:rFonts w:eastAsia="Times New Roman" w:cs="Times New Roman"/>
        </w:rPr>
        <w:t>the ability to anticipate, prepare for, and adapt to changing conditions and to withstand, respond to, and recover rapidly from disruptions</w:t>
      </w:r>
      <w:r w:rsidR="00B57AA3">
        <w:rPr>
          <w:rFonts w:eastAsia="Times New Roman" w:cs="Times New Roman"/>
        </w:rPr>
        <w:t xml:space="preserve">, whatever the cause of that disruption. Resilience is often characterized using attributes such as resourcefulness, redundancy, robustness, and recovery. </w:t>
      </w:r>
      <w:r w:rsidR="009017AC" w:rsidRPr="000A2AD1">
        <w:rPr>
          <w:rFonts w:eastAsia="Times New Roman" w:cs="Times New Roman"/>
        </w:rPr>
        <w:t xml:space="preserve">Enhanced resilience will reduce unacceptable risk by </w:t>
      </w:r>
      <w:r w:rsidR="00E61758">
        <w:rPr>
          <w:rFonts w:eastAsia="Times New Roman" w:cs="Times New Roman"/>
        </w:rPr>
        <w:t>improving</w:t>
      </w:r>
      <w:r w:rsidR="00E61758" w:rsidRPr="000A2AD1">
        <w:rPr>
          <w:rFonts w:eastAsia="Times New Roman" w:cs="Times New Roman"/>
        </w:rPr>
        <w:t xml:space="preserve"> </w:t>
      </w:r>
      <w:r w:rsidR="009017AC" w:rsidRPr="000A2AD1">
        <w:rPr>
          <w:rFonts w:eastAsia="Times New Roman" w:cs="Times New Roman"/>
        </w:rPr>
        <w:t xml:space="preserve">one or more </w:t>
      </w:r>
      <w:r w:rsidR="00E61758">
        <w:rPr>
          <w:rFonts w:eastAsia="Times New Roman" w:cs="Times New Roman"/>
        </w:rPr>
        <w:t xml:space="preserve">of the resilience </w:t>
      </w:r>
      <w:r w:rsidR="009017AC" w:rsidRPr="000A2AD1">
        <w:rPr>
          <w:rFonts w:eastAsia="Times New Roman" w:cs="Times New Roman"/>
        </w:rPr>
        <w:t xml:space="preserve">attributes. </w:t>
      </w:r>
      <w:r w:rsidR="00E61758">
        <w:rPr>
          <w:rFonts w:eastAsia="Times New Roman" w:cs="Times New Roman"/>
        </w:rPr>
        <w:t>A</w:t>
      </w:r>
      <w:r w:rsidR="009017AC" w:rsidRPr="000A2AD1">
        <w:rPr>
          <w:rFonts w:eastAsia="Times New Roman" w:cs="Times New Roman"/>
        </w:rPr>
        <w:t xml:space="preserve">n organization that has prepared for and is able to respond quickly to a disruption to reduce the downtime of a mission </w:t>
      </w:r>
      <w:r w:rsidR="00E61758">
        <w:rPr>
          <w:rFonts w:eastAsia="Times New Roman" w:cs="Times New Roman"/>
        </w:rPr>
        <w:t>is</w:t>
      </w:r>
      <w:r w:rsidR="009017AC" w:rsidRPr="000A2AD1">
        <w:rPr>
          <w:rFonts w:eastAsia="Times New Roman" w:cs="Times New Roman"/>
        </w:rPr>
        <w:t xml:space="preserve"> more resilient than an organization that has not prepared for such events. </w:t>
      </w:r>
      <w:r w:rsidR="00E61758">
        <w:rPr>
          <w:rFonts w:eastAsia="Times New Roman" w:cs="Times New Roman"/>
        </w:rPr>
        <w:t xml:space="preserve">The organization could accomplish this </w:t>
      </w:r>
      <w:r w:rsidR="00C75304">
        <w:rPr>
          <w:rFonts w:eastAsia="Times New Roman" w:cs="Times New Roman"/>
        </w:rPr>
        <w:t>by reducing a vulnerability (e.g.</w:t>
      </w:r>
      <w:r w:rsidR="0080547B">
        <w:rPr>
          <w:rFonts w:eastAsia="Times New Roman" w:cs="Times New Roman"/>
        </w:rPr>
        <w:t>,</w:t>
      </w:r>
      <w:r w:rsidR="00C75304">
        <w:rPr>
          <w:rFonts w:eastAsia="Times New Roman" w:cs="Times New Roman"/>
        </w:rPr>
        <w:t xml:space="preserve"> </w:t>
      </w:r>
      <w:r w:rsidR="00E61758">
        <w:rPr>
          <w:rFonts w:eastAsia="Times New Roman" w:cs="Times New Roman"/>
        </w:rPr>
        <w:t xml:space="preserve">increasing the reliability of redundant </w:t>
      </w:r>
      <w:r w:rsidR="00C75304">
        <w:rPr>
          <w:rFonts w:eastAsia="Times New Roman" w:cs="Times New Roman"/>
        </w:rPr>
        <w:t xml:space="preserve">energy or water </w:t>
      </w:r>
      <w:r w:rsidR="00E61758">
        <w:rPr>
          <w:rFonts w:eastAsia="Times New Roman" w:cs="Times New Roman"/>
        </w:rPr>
        <w:t>systems</w:t>
      </w:r>
      <w:r w:rsidR="00C75304">
        <w:rPr>
          <w:rFonts w:eastAsia="Times New Roman" w:cs="Times New Roman"/>
        </w:rPr>
        <w:t>), reducing a consequence (e.g.</w:t>
      </w:r>
      <w:r w:rsidR="0080547B">
        <w:rPr>
          <w:rFonts w:eastAsia="Times New Roman" w:cs="Times New Roman"/>
        </w:rPr>
        <w:t>,</w:t>
      </w:r>
      <w:r w:rsidR="00C75304">
        <w:rPr>
          <w:rFonts w:eastAsia="Times New Roman" w:cs="Times New Roman"/>
        </w:rPr>
        <w:t xml:space="preserve"> </w:t>
      </w:r>
      <w:r w:rsidR="00E61758">
        <w:rPr>
          <w:rFonts w:eastAsia="Times New Roman" w:cs="Times New Roman"/>
        </w:rPr>
        <w:t>creating a work-from-home plan in the event of an outage</w:t>
      </w:r>
      <w:r w:rsidR="009366A5">
        <w:rPr>
          <w:rFonts w:eastAsia="Times New Roman" w:cs="Times New Roman"/>
        </w:rPr>
        <w:t>),</w:t>
      </w:r>
      <w:r w:rsidR="00C75304">
        <w:rPr>
          <w:rFonts w:eastAsia="Times New Roman" w:cs="Times New Roman"/>
        </w:rPr>
        <w:t xml:space="preserve"> or reducing </w:t>
      </w:r>
      <w:r w:rsidR="00391F40">
        <w:rPr>
          <w:rFonts w:eastAsia="Times New Roman" w:cs="Times New Roman"/>
        </w:rPr>
        <w:t xml:space="preserve">the probability </w:t>
      </w:r>
      <w:r w:rsidR="00336187">
        <w:rPr>
          <w:rFonts w:eastAsia="Times New Roman" w:cs="Times New Roman"/>
        </w:rPr>
        <w:t xml:space="preserve">that the </w:t>
      </w:r>
      <w:r w:rsidR="00C75304">
        <w:rPr>
          <w:rFonts w:eastAsia="Times New Roman" w:cs="Times New Roman"/>
        </w:rPr>
        <w:t>hazard</w:t>
      </w:r>
      <w:r w:rsidR="0080547B">
        <w:rPr>
          <w:rFonts w:eastAsia="Times New Roman" w:cs="Times New Roman"/>
        </w:rPr>
        <w:t xml:space="preserve"> or threat</w:t>
      </w:r>
      <w:r w:rsidR="00C75304">
        <w:rPr>
          <w:rFonts w:eastAsia="Times New Roman" w:cs="Times New Roman"/>
        </w:rPr>
        <w:t xml:space="preserve"> </w:t>
      </w:r>
      <w:r w:rsidR="00336187">
        <w:rPr>
          <w:rFonts w:eastAsia="Times New Roman" w:cs="Times New Roman"/>
        </w:rPr>
        <w:t xml:space="preserve">(an outage) would occur </w:t>
      </w:r>
      <w:r w:rsidR="00C75304">
        <w:rPr>
          <w:rFonts w:eastAsia="Times New Roman" w:cs="Times New Roman"/>
        </w:rPr>
        <w:t>(e.g.</w:t>
      </w:r>
      <w:r w:rsidR="0080547B">
        <w:rPr>
          <w:rFonts w:eastAsia="Times New Roman" w:cs="Times New Roman"/>
        </w:rPr>
        <w:t>,</w:t>
      </w:r>
      <w:r w:rsidR="00C75304">
        <w:rPr>
          <w:rFonts w:eastAsia="Times New Roman" w:cs="Times New Roman"/>
        </w:rPr>
        <w:t xml:space="preserve"> working with the utility to add </w:t>
      </w:r>
      <w:r w:rsidR="00336187">
        <w:rPr>
          <w:rFonts w:eastAsia="Times New Roman" w:cs="Times New Roman"/>
        </w:rPr>
        <w:t xml:space="preserve">a new water </w:t>
      </w:r>
      <w:r w:rsidR="00C75304">
        <w:rPr>
          <w:rFonts w:eastAsia="Times New Roman" w:cs="Times New Roman"/>
        </w:rPr>
        <w:t xml:space="preserve">supply </w:t>
      </w:r>
      <w:r w:rsidR="00336187">
        <w:rPr>
          <w:rFonts w:eastAsia="Times New Roman" w:cs="Times New Roman"/>
        </w:rPr>
        <w:t>line to the site)</w:t>
      </w:r>
      <w:r w:rsidR="00E61758">
        <w:rPr>
          <w:rFonts w:eastAsia="Times New Roman" w:cs="Times New Roman"/>
        </w:rPr>
        <w:t xml:space="preserve">. In </w:t>
      </w:r>
      <w:r w:rsidR="00C75304">
        <w:rPr>
          <w:rFonts w:eastAsia="Times New Roman" w:cs="Times New Roman"/>
        </w:rPr>
        <w:t xml:space="preserve">each </w:t>
      </w:r>
      <w:r w:rsidR="00E61758">
        <w:rPr>
          <w:rFonts w:eastAsia="Times New Roman" w:cs="Times New Roman"/>
        </w:rPr>
        <w:t xml:space="preserve">case, these resilience-enhancing actions reduce risk. </w:t>
      </w:r>
      <w:r w:rsidR="009017AC">
        <w:t>A successful resilience solution will reduce unacceptable risk and increase resilience.</w:t>
      </w:r>
      <w:r w:rsidR="00F02A33">
        <w:t xml:space="preserve"> The following table shows</w:t>
      </w:r>
      <w:r w:rsidR="00F13422">
        <w:t xml:space="preserve"> a few example solutions that address the components of risk through the four attributes of resilience. These examples are intended to be illustrative only. More potential solutions are provided in the Solution Development module. </w:t>
      </w:r>
      <w:r w:rsidR="00F02A33">
        <w:t xml:space="preserve"> </w:t>
      </w:r>
    </w:p>
    <w:p w:rsidR="002F2D7C" w:rsidRDefault="002F2D7C" w:rsidP="009017AC"/>
    <w:p w:rsidR="002F2D7C" w:rsidRDefault="002F2D7C" w:rsidP="009017AC"/>
    <w:p w:rsidR="002F2D7C" w:rsidRDefault="002F2D7C" w:rsidP="009017AC"/>
    <w:p w:rsidR="002F2D7C" w:rsidRDefault="002F2D7C" w:rsidP="009017AC"/>
    <w:p w:rsidR="002F2D7C" w:rsidRDefault="002F2D7C" w:rsidP="009017AC"/>
    <w:p w:rsidR="002F2D7C" w:rsidRDefault="002F2D7C" w:rsidP="009017AC"/>
    <w:p w:rsidR="002F2D7C" w:rsidRDefault="002F2D7C" w:rsidP="009017AC"/>
    <w:p w:rsidR="002F2D7C" w:rsidRDefault="002F2D7C" w:rsidP="009017AC"/>
    <w:p w:rsidR="002F2D7C" w:rsidRDefault="002F2D7C" w:rsidP="009017AC"/>
    <w:tbl>
      <w:tblPr>
        <w:tblStyle w:val="TableGrid1"/>
        <w:tblW w:w="0" w:type="auto"/>
        <w:tblBorders>
          <w:insideV w:val="none" w:sz="0" w:space="0" w:color="auto"/>
        </w:tblBorders>
        <w:tblLook w:val="04A0" w:firstRow="1" w:lastRow="0" w:firstColumn="1" w:lastColumn="0" w:noHBand="0" w:noVBand="1"/>
      </w:tblPr>
      <w:tblGrid>
        <w:gridCol w:w="564"/>
        <w:gridCol w:w="3222"/>
        <w:gridCol w:w="1855"/>
        <w:gridCol w:w="1854"/>
        <w:gridCol w:w="1855"/>
      </w:tblGrid>
      <w:tr w:rsidR="009017AC" w:rsidRPr="009017AC" w:rsidTr="00612B11">
        <w:trPr>
          <w:trHeight w:val="620"/>
        </w:trPr>
        <w:tc>
          <w:tcPr>
            <w:tcW w:w="564" w:type="dxa"/>
            <w:shd w:val="clear" w:color="auto" w:fill="7F7F7F" w:themeFill="text1" w:themeFillTint="80"/>
            <w:vAlign w:val="center"/>
          </w:tcPr>
          <w:p w:rsidR="009017AC" w:rsidRPr="009017AC" w:rsidRDefault="009017AC" w:rsidP="009017AC">
            <w:pPr>
              <w:jc w:val="center"/>
              <w:rPr>
                <w:sz w:val="20"/>
              </w:rPr>
            </w:pPr>
          </w:p>
        </w:tc>
        <w:tc>
          <w:tcPr>
            <w:tcW w:w="8786" w:type="dxa"/>
            <w:gridSpan w:val="4"/>
            <w:shd w:val="clear" w:color="auto" w:fill="7F7F7F" w:themeFill="text1" w:themeFillTint="80"/>
            <w:vAlign w:val="center"/>
          </w:tcPr>
          <w:p w:rsidR="009017AC" w:rsidRPr="009017AC" w:rsidRDefault="009017AC" w:rsidP="009017AC">
            <w:pPr>
              <w:jc w:val="center"/>
              <w:rPr>
                <w:b/>
                <w:sz w:val="20"/>
              </w:rPr>
            </w:pPr>
            <w:r w:rsidRPr="009017AC">
              <w:rPr>
                <w:b/>
                <w:color w:val="FFFFFF" w:themeColor="background1"/>
                <w:sz w:val="28"/>
              </w:rPr>
              <w:t>Risk Components</w:t>
            </w:r>
          </w:p>
        </w:tc>
      </w:tr>
      <w:tr w:rsidR="00612B11" w:rsidRPr="009017AC" w:rsidTr="00F13422">
        <w:trPr>
          <w:trHeight w:val="620"/>
        </w:trPr>
        <w:tc>
          <w:tcPr>
            <w:tcW w:w="564" w:type="dxa"/>
            <w:vMerge w:val="restart"/>
            <w:shd w:val="clear" w:color="auto" w:fill="7F7F7F" w:themeFill="text1" w:themeFillTint="80"/>
            <w:textDirection w:val="btLr"/>
            <w:vAlign w:val="center"/>
          </w:tcPr>
          <w:p w:rsidR="009017AC" w:rsidRPr="009017AC" w:rsidRDefault="009017AC" w:rsidP="009017AC">
            <w:pPr>
              <w:ind w:left="113" w:right="113"/>
              <w:jc w:val="center"/>
              <w:rPr>
                <w:b/>
                <w:sz w:val="20"/>
              </w:rPr>
            </w:pPr>
            <w:r w:rsidRPr="009017AC">
              <w:rPr>
                <w:b/>
                <w:color w:val="FFFFFF" w:themeColor="background1"/>
                <w:sz w:val="28"/>
              </w:rPr>
              <w:t>Resilience Attributes</w:t>
            </w:r>
          </w:p>
        </w:tc>
        <w:tc>
          <w:tcPr>
            <w:tcW w:w="3222" w:type="dxa"/>
            <w:tcBorders>
              <w:right w:val="single" w:sz="4" w:space="0" w:color="auto"/>
            </w:tcBorders>
            <w:shd w:val="clear" w:color="auto" w:fill="D9D9D9" w:themeFill="background1" w:themeFillShade="D9"/>
            <w:vAlign w:val="center"/>
          </w:tcPr>
          <w:p w:rsidR="009017AC" w:rsidRPr="009017AC" w:rsidRDefault="009017AC" w:rsidP="009017AC">
            <w:pPr>
              <w:jc w:val="center"/>
              <w:rPr>
                <w:sz w:val="20"/>
              </w:rPr>
            </w:pPr>
          </w:p>
        </w:tc>
        <w:tc>
          <w:tcPr>
            <w:tcW w:w="1855" w:type="dxa"/>
            <w:tcBorders>
              <w:left w:val="single" w:sz="4" w:space="0" w:color="auto"/>
              <w:right w:val="single" w:sz="4" w:space="0" w:color="auto"/>
            </w:tcBorders>
            <w:shd w:val="clear" w:color="auto" w:fill="D9D9D9" w:themeFill="background1" w:themeFillShade="D9"/>
            <w:vAlign w:val="center"/>
          </w:tcPr>
          <w:p w:rsidR="009017AC" w:rsidRPr="00612B11" w:rsidRDefault="009017AC" w:rsidP="009017AC">
            <w:pPr>
              <w:jc w:val="center"/>
              <w:rPr>
                <w:b/>
                <w:sz w:val="20"/>
              </w:rPr>
            </w:pPr>
            <w:r w:rsidRPr="00612B11">
              <w:rPr>
                <w:b/>
                <w:sz w:val="20"/>
              </w:rPr>
              <w:t>Hazard</w:t>
            </w:r>
          </w:p>
        </w:tc>
        <w:tc>
          <w:tcPr>
            <w:tcW w:w="1854" w:type="dxa"/>
            <w:tcBorders>
              <w:left w:val="single" w:sz="4" w:space="0" w:color="auto"/>
              <w:right w:val="single" w:sz="4" w:space="0" w:color="auto"/>
            </w:tcBorders>
            <w:shd w:val="clear" w:color="auto" w:fill="D9D9D9" w:themeFill="background1" w:themeFillShade="D9"/>
            <w:vAlign w:val="center"/>
          </w:tcPr>
          <w:p w:rsidR="009017AC" w:rsidRPr="00612B11" w:rsidRDefault="009017AC" w:rsidP="009017AC">
            <w:pPr>
              <w:jc w:val="center"/>
              <w:rPr>
                <w:b/>
                <w:sz w:val="20"/>
              </w:rPr>
            </w:pPr>
            <w:r w:rsidRPr="00612B11">
              <w:rPr>
                <w:b/>
                <w:sz w:val="20"/>
              </w:rPr>
              <w:t>Vulnerability</w:t>
            </w:r>
          </w:p>
        </w:tc>
        <w:tc>
          <w:tcPr>
            <w:tcW w:w="1855" w:type="dxa"/>
            <w:tcBorders>
              <w:left w:val="single" w:sz="4" w:space="0" w:color="auto"/>
            </w:tcBorders>
            <w:shd w:val="clear" w:color="auto" w:fill="D9D9D9" w:themeFill="background1" w:themeFillShade="D9"/>
            <w:vAlign w:val="center"/>
          </w:tcPr>
          <w:p w:rsidR="009017AC" w:rsidRPr="00612B11" w:rsidRDefault="009017AC" w:rsidP="009017AC">
            <w:pPr>
              <w:jc w:val="center"/>
              <w:rPr>
                <w:b/>
                <w:sz w:val="20"/>
              </w:rPr>
            </w:pPr>
            <w:r w:rsidRPr="00612B11">
              <w:rPr>
                <w:b/>
                <w:sz w:val="20"/>
              </w:rPr>
              <w:t>Consequence</w:t>
            </w:r>
          </w:p>
        </w:tc>
      </w:tr>
      <w:tr w:rsidR="00612B11" w:rsidRPr="009017AC" w:rsidTr="00F13422">
        <w:trPr>
          <w:trHeight w:val="1718"/>
        </w:trPr>
        <w:tc>
          <w:tcPr>
            <w:tcW w:w="564" w:type="dxa"/>
            <w:vMerge/>
            <w:shd w:val="clear" w:color="auto" w:fill="7F7F7F" w:themeFill="text1" w:themeFillTint="80"/>
            <w:vAlign w:val="center"/>
          </w:tcPr>
          <w:p w:rsidR="009017AC" w:rsidRPr="009017AC" w:rsidRDefault="009017AC" w:rsidP="009017AC">
            <w:pPr>
              <w:jc w:val="center"/>
              <w:rPr>
                <w:sz w:val="20"/>
              </w:rPr>
            </w:pPr>
          </w:p>
        </w:tc>
        <w:tc>
          <w:tcPr>
            <w:tcW w:w="3222" w:type="dxa"/>
            <w:tcBorders>
              <w:right w:val="single" w:sz="4" w:space="0" w:color="auto"/>
            </w:tcBorders>
            <w:shd w:val="clear" w:color="auto" w:fill="D9D9D9" w:themeFill="background1" w:themeFillShade="D9"/>
            <w:vAlign w:val="center"/>
          </w:tcPr>
          <w:p w:rsidR="009017AC" w:rsidRPr="00612B11" w:rsidRDefault="009017AC" w:rsidP="009017AC">
            <w:pPr>
              <w:rPr>
                <w:sz w:val="20"/>
              </w:rPr>
            </w:pPr>
            <w:r w:rsidRPr="00612B11">
              <w:rPr>
                <w:b/>
                <w:sz w:val="20"/>
              </w:rPr>
              <w:t>Resourcefulness:</w:t>
            </w:r>
            <w:r w:rsidRPr="00612B11">
              <w:rPr>
                <w:sz w:val="20"/>
              </w:rPr>
              <w:t xml:space="preserve"> the ability to skillfully prepare for, respond to</w:t>
            </w:r>
            <w:r w:rsidR="00970A2B">
              <w:rPr>
                <w:sz w:val="20"/>
              </w:rPr>
              <w:t>,</w:t>
            </w:r>
            <w:r w:rsidRPr="00612B11">
              <w:rPr>
                <w:sz w:val="20"/>
              </w:rPr>
              <w:t xml:space="preserve"> and manage a crisis or disruption as it unfolds</w:t>
            </w:r>
          </w:p>
          <w:p w:rsidR="009017AC" w:rsidRPr="00612B11" w:rsidRDefault="009017AC" w:rsidP="009017AC">
            <w:pPr>
              <w:jc w:val="center"/>
              <w:rPr>
                <w:sz w:val="20"/>
              </w:rPr>
            </w:pPr>
          </w:p>
        </w:tc>
        <w:tc>
          <w:tcPr>
            <w:tcW w:w="1855" w:type="dxa"/>
            <w:tcBorders>
              <w:left w:val="single" w:sz="4" w:space="0" w:color="auto"/>
              <w:right w:val="single" w:sz="4" w:space="0" w:color="auto"/>
            </w:tcBorders>
            <w:shd w:val="clear" w:color="auto" w:fill="FFFFFF" w:themeFill="background1"/>
            <w:vAlign w:val="center"/>
          </w:tcPr>
          <w:p w:rsidR="009017AC" w:rsidRPr="009017AC" w:rsidRDefault="009017AC" w:rsidP="009017AC">
            <w:pPr>
              <w:rPr>
                <w:sz w:val="18"/>
                <w:szCs w:val="16"/>
              </w:rPr>
            </w:pPr>
            <w:r w:rsidRPr="009017AC">
              <w:rPr>
                <w:sz w:val="18"/>
                <w:szCs w:val="16"/>
              </w:rPr>
              <w:t xml:space="preserve">Reduce likelihood of loss of </w:t>
            </w:r>
            <w:r w:rsidR="00F13422">
              <w:rPr>
                <w:sz w:val="18"/>
                <w:szCs w:val="16"/>
              </w:rPr>
              <w:t>operations</w:t>
            </w:r>
            <w:r w:rsidRPr="009017AC">
              <w:rPr>
                <w:sz w:val="18"/>
                <w:szCs w:val="16"/>
              </w:rPr>
              <w:t xml:space="preserve"> through effective business continuity planning, training, supply chain management, and communications</w:t>
            </w:r>
            <w:r w:rsidR="00196EA3">
              <w:rPr>
                <w:sz w:val="18"/>
                <w:szCs w:val="16"/>
              </w:rPr>
              <w:t>.</w:t>
            </w:r>
            <w:r w:rsidRPr="009017AC">
              <w:rPr>
                <w:sz w:val="18"/>
                <w:szCs w:val="16"/>
              </w:rPr>
              <w:t xml:space="preserve">  </w:t>
            </w:r>
          </w:p>
        </w:tc>
        <w:tc>
          <w:tcPr>
            <w:tcW w:w="1854" w:type="dxa"/>
            <w:tcBorders>
              <w:left w:val="single" w:sz="4" w:space="0" w:color="auto"/>
              <w:right w:val="single" w:sz="4" w:space="0" w:color="auto"/>
            </w:tcBorders>
            <w:shd w:val="clear" w:color="auto" w:fill="FFFFFF" w:themeFill="background1"/>
            <w:vAlign w:val="center"/>
          </w:tcPr>
          <w:p w:rsidR="009017AC" w:rsidRPr="009017AC" w:rsidRDefault="009366A5" w:rsidP="009017AC">
            <w:pPr>
              <w:rPr>
                <w:sz w:val="18"/>
                <w:szCs w:val="16"/>
              </w:rPr>
            </w:pPr>
            <w:r>
              <w:rPr>
                <w:sz w:val="18"/>
                <w:szCs w:val="16"/>
              </w:rPr>
              <w:t>Training personnel in the use of redundant systems and testing and maintaining those systems on a regular basis to reduce potential for failure of redundant systems during a disruptive event.</w:t>
            </w:r>
          </w:p>
        </w:tc>
        <w:tc>
          <w:tcPr>
            <w:tcW w:w="1855" w:type="dxa"/>
            <w:tcBorders>
              <w:left w:val="single" w:sz="4" w:space="0" w:color="auto"/>
            </w:tcBorders>
            <w:shd w:val="clear" w:color="auto" w:fill="FFFFFF" w:themeFill="background1"/>
            <w:vAlign w:val="center"/>
          </w:tcPr>
          <w:p w:rsidR="009017AC" w:rsidRPr="009017AC" w:rsidRDefault="009017AC" w:rsidP="009017AC">
            <w:pPr>
              <w:rPr>
                <w:sz w:val="18"/>
                <w:szCs w:val="16"/>
              </w:rPr>
            </w:pPr>
            <w:r w:rsidRPr="009017AC">
              <w:rPr>
                <w:sz w:val="18"/>
                <w:szCs w:val="16"/>
              </w:rPr>
              <w:t>Reduce consequences of a disruption through ensuring that response and recovery plans and site-level emergency plans are in place and exercised.</w:t>
            </w:r>
          </w:p>
        </w:tc>
      </w:tr>
      <w:tr w:rsidR="00612B11" w:rsidRPr="009017AC" w:rsidTr="00F13422">
        <w:trPr>
          <w:trHeight w:val="2033"/>
        </w:trPr>
        <w:tc>
          <w:tcPr>
            <w:tcW w:w="564" w:type="dxa"/>
            <w:vMerge/>
            <w:shd w:val="clear" w:color="auto" w:fill="7F7F7F" w:themeFill="text1" w:themeFillTint="80"/>
            <w:vAlign w:val="center"/>
          </w:tcPr>
          <w:p w:rsidR="009017AC" w:rsidRPr="009017AC" w:rsidRDefault="009017AC" w:rsidP="009017AC">
            <w:pPr>
              <w:jc w:val="center"/>
              <w:rPr>
                <w:sz w:val="20"/>
              </w:rPr>
            </w:pPr>
          </w:p>
        </w:tc>
        <w:tc>
          <w:tcPr>
            <w:tcW w:w="3222" w:type="dxa"/>
            <w:tcBorders>
              <w:right w:val="single" w:sz="4" w:space="0" w:color="auto"/>
            </w:tcBorders>
            <w:shd w:val="clear" w:color="auto" w:fill="D9D9D9" w:themeFill="background1" w:themeFillShade="D9"/>
            <w:vAlign w:val="center"/>
          </w:tcPr>
          <w:p w:rsidR="009017AC" w:rsidRPr="00612B11" w:rsidRDefault="009017AC" w:rsidP="009017AC">
            <w:pPr>
              <w:rPr>
                <w:sz w:val="20"/>
              </w:rPr>
            </w:pPr>
            <w:r w:rsidRPr="00612B11">
              <w:rPr>
                <w:b/>
                <w:sz w:val="20"/>
              </w:rPr>
              <w:t>Redundancy:</w:t>
            </w:r>
            <w:r w:rsidRPr="00612B11">
              <w:rPr>
                <w:sz w:val="20"/>
              </w:rPr>
              <w:t xml:space="preserve"> the availability of</w:t>
            </w:r>
            <w:r w:rsidR="00970A2B">
              <w:rPr>
                <w:sz w:val="20"/>
              </w:rPr>
              <w:t xml:space="preserve"> redundant</w:t>
            </w:r>
            <w:r w:rsidRPr="00612B11">
              <w:rPr>
                <w:sz w:val="20"/>
              </w:rPr>
              <w:t xml:space="preserve"> </w:t>
            </w:r>
            <w:r w:rsidR="005126A3" w:rsidRPr="00F13422">
              <w:rPr>
                <w:sz w:val="20"/>
                <w:szCs w:val="20"/>
              </w:rPr>
              <w:t>systems</w:t>
            </w:r>
            <w:r w:rsidRPr="00612B11">
              <w:rPr>
                <w:sz w:val="20"/>
              </w:rPr>
              <w:t xml:space="preserve"> to support the primary source in case of failure</w:t>
            </w:r>
          </w:p>
          <w:p w:rsidR="009017AC" w:rsidRPr="00612B11" w:rsidRDefault="009017AC" w:rsidP="009017AC">
            <w:pPr>
              <w:jc w:val="center"/>
              <w:rPr>
                <w:sz w:val="20"/>
              </w:rPr>
            </w:pPr>
          </w:p>
        </w:tc>
        <w:tc>
          <w:tcPr>
            <w:tcW w:w="1855" w:type="dxa"/>
            <w:tcBorders>
              <w:left w:val="single" w:sz="4" w:space="0" w:color="auto"/>
              <w:right w:val="single" w:sz="4" w:space="0" w:color="auto"/>
            </w:tcBorders>
            <w:shd w:val="clear" w:color="auto" w:fill="FFFFFF" w:themeFill="background1"/>
            <w:vAlign w:val="center"/>
          </w:tcPr>
          <w:p w:rsidR="009017AC" w:rsidRPr="009017AC" w:rsidRDefault="009017AC" w:rsidP="009017AC">
            <w:pPr>
              <w:rPr>
                <w:sz w:val="18"/>
                <w:szCs w:val="16"/>
              </w:rPr>
            </w:pPr>
            <w:r w:rsidRPr="009017AC">
              <w:rPr>
                <w:sz w:val="18"/>
                <w:szCs w:val="16"/>
              </w:rPr>
              <w:t>Reduce likelihood of loss of mission capabilities due to a hazard</w:t>
            </w:r>
            <w:r w:rsidR="00196EA3">
              <w:rPr>
                <w:sz w:val="18"/>
                <w:szCs w:val="16"/>
              </w:rPr>
              <w:t xml:space="preserve"> or threat</w:t>
            </w:r>
            <w:r w:rsidRPr="009017AC">
              <w:rPr>
                <w:sz w:val="18"/>
                <w:szCs w:val="16"/>
              </w:rPr>
              <w:t xml:space="preserve"> through redundancy in supply infrastructure</w:t>
            </w:r>
            <w:r w:rsidR="00196EA3">
              <w:rPr>
                <w:sz w:val="18"/>
                <w:szCs w:val="16"/>
              </w:rPr>
              <w:t>.</w:t>
            </w:r>
            <w:r w:rsidRPr="009017AC">
              <w:rPr>
                <w:sz w:val="18"/>
                <w:szCs w:val="16"/>
              </w:rPr>
              <w:t xml:space="preserve"> </w:t>
            </w:r>
          </w:p>
        </w:tc>
        <w:tc>
          <w:tcPr>
            <w:tcW w:w="1854" w:type="dxa"/>
            <w:tcBorders>
              <w:left w:val="single" w:sz="4" w:space="0" w:color="auto"/>
              <w:right w:val="single" w:sz="4" w:space="0" w:color="auto"/>
            </w:tcBorders>
            <w:shd w:val="clear" w:color="auto" w:fill="FFFFFF" w:themeFill="background1"/>
            <w:vAlign w:val="center"/>
          </w:tcPr>
          <w:p w:rsidR="009017AC" w:rsidRPr="009017AC" w:rsidRDefault="009017AC" w:rsidP="009017AC">
            <w:pPr>
              <w:rPr>
                <w:sz w:val="18"/>
                <w:szCs w:val="16"/>
              </w:rPr>
            </w:pPr>
            <w:r w:rsidRPr="009017AC">
              <w:rPr>
                <w:sz w:val="18"/>
                <w:szCs w:val="16"/>
              </w:rPr>
              <w:t>Reduce vulnerability to disruptions in primary supply through implementation of redundant systems and independence of systems</w:t>
            </w:r>
            <w:r w:rsidR="00196EA3">
              <w:rPr>
                <w:sz w:val="18"/>
                <w:szCs w:val="16"/>
              </w:rPr>
              <w:t>.</w:t>
            </w:r>
            <w:r w:rsidRPr="009017AC">
              <w:rPr>
                <w:sz w:val="18"/>
                <w:szCs w:val="16"/>
              </w:rPr>
              <w:t xml:space="preserve"> </w:t>
            </w:r>
          </w:p>
        </w:tc>
        <w:tc>
          <w:tcPr>
            <w:tcW w:w="1855" w:type="dxa"/>
            <w:tcBorders>
              <w:left w:val="single" w:sz="4" w:space="0" w:color="auto"/>
            </w:tcBorders>
            <w:shd w:val="clear" w:color="auto" w:fill="FFFFFF" w:themeFill="background1"/>
            <w:vAlign w:val="center"/>
          </w:tcPr>
          <w:p w:rsidR="009017AC" w:rsidRPr="009017AC" w:rsidRDefault="009017AC" w:rsidP="009017AC">
            <w:pPr>
              <w:rPr>
                <w:sz w:val="18"/>
                <w:szCs w:val="16"/>
              </w:rPr>
            </w:pPr>
            <w:r w:rsidRPr="009017AC">
              <w:rPr>
                <w:sz w:val="18"/>
                <w:szCs w:val="16"/>
              </w:rPr>
              <w:t>Reduce consequences of a disruption through enhancing ability to transfer or meet mission critical functions at another site</w:t>
            </w:r>
            <w:r w:rsidR="00196EA3">
              <w:rPr>
                <w:sz w:val="18"/>
                <w:szCs w:val="16"/>
              </w:rPr>
              <w:t>.</w:t>
            </w:r>
            <w:r w:rsidRPr="009017AC">
              <w:rPr>
                <w:sz w:val="18"/>
                <w:szCs w:val="16"/>
              </w:rPr>
              <w:t xml:space="preserve"> </w:t>
            </w:r>
          </w:p>
        </w:tc>
      </w:tr>
      <w:tr w:rsidR="009017AC" w:rsidRPr="009017AC" w:rsidTr="009366A5">
        <w:trPr>
          <w:trHeight w:val="2357"/>
        </w:trPr>
        <w:tc>
          <w:tcPr>
            <w:tcW w:w="564" w:type="dxa"/>
            <w:vMerge/>
            <w:shd w:val="clear" w:color="auto" w:fill="7F7F7F" w:themeFill="text1" w:themeFillTint="80"/>
            <w:vAlign w:val="center"/>
          </w:tcPr>
          <w:p w:rsidR="009017AC" w:rsidRPr="009017AC" w:rsidRDefault="009017AC" w:rsidP="009017AC">
            <w:pPr>
              <w:jc w:val="center"/>
              <w:rPr>
                <w:sz w:val="20"/>
              </w:rPr>
            </w:pPr>
          </w:p>
        </w:tc>
        <w:tc>
          <w:tcPr>
            <w:tcW w:w="3222" w:type="dxa"/>
            <w:tcBorders>
              <w:right w:val="single" w:sz="4" w:space="0" w:color="auto"/>
            </w:tcBorders>
            <w:shd w:val="clear" w:color="auto" w:fill="D9D9D9" w:themeFill="background1" w:themeFillShade="D9"/>
            <w:vAlign w:val="center"/>
          </w:tcPr>
          <w:p w:rsidR="009017AC" w:rsidRPr="00612B11" w:rsidRDefault="009017AC" w:rsidP="009017AC">
            <w:pPr>
              <w:rPr>
                <w:sz w:val="20"/>
              </w:rPr>
            </w:pPr>
            <w:r w:rsidRPr="00612B11">
              <w:rPr>
                <w:b/>
                <w:sz w:val="20"/>
              </w:rPr>
              <w:t>Robustness:</w:t>
            </w:r>
            <w:r w:rsidRPr="00612B11">
              <w:rPr>
                <w:sz w:val="20"/>
              </w:rPr>
              <w:t xml:space="preserve"> the ability to maintain critical operations and functions in the face of </w:t>
            </w:r>
            <w:r w:rsidR="00083245">
              <w:rPr>
                <w:sz w:val="20"/>
              </w:rPr>
              <w:t xml:space="preserve">a </w:t>
            </w:r>
            <w:r w:rsidRPr="00612B11">
              <w:rPr>
                <w:sz w:val="20"/>
              </w:rPr>
              <w:t>crisis</w:t>
            </w:r>
          </w:p>
          <w:p w:rsidR="009017AC" w:rsidRPr="00612B11" w:rsidRDefault="009017AC" w:rsidP="009017AC">
            <w:pPr>
              <w:jc w:val="center"/>
              <w:rPr>
                <w:sz w:val="20"/>
              </w:rPr>
            </w:pPr>
          </w:p>
        </w:tc>
        <w:tc>
          <w:tcPr>
            <w:tcW w:w="1855" w:type="dxa"/>
            <w:tcBorders>
              <w:left w:val="single" w:sz="4" w:space="0" w:color="auto"/>
              <w:right w:val="single" w:sz="4" w:space="0" w:color="auto"/>
            </w:tcBorders>
            <w:shd w:val="clear" w:color="auto" w:fill="FFFFFF" w:themeFill="background1"/>
            <w:vAlign w:val="center"/>
          </w:tcPr>
          <w:p w:rsidR="009017AC" w:rsidRPr="009017AC" w:rsidRDefault="009017AC" w:rsidP="009017AC">
            <w:pPr>
              <w:rPr>
                <w:sz w:val="18"/>
                <w:szCs w:val="16"/>
              </w:rPr>
            </w:pPr>
            <w:r w:rsidRPr="009017AC">
              <w:rPr>
                <w:sz w:val="18"/>
                <w:szCs w:val="16"/>
              </w:rPr>
              <w:t xml:space="preserve">Reduce probability that the hazard will lead to loss of </w:t>
            </w:r>
            <w:r w:rsidR="00B74471">
              <w:rPr>
                <w:sz w:val="18"/>
                <w:szCs w:val="16"/>
              </w:rPr>
              <w:t>energy and water s</w:t>
            </w:r>
            <w:r w:rsidRPr="009017AC">
              <w:rPr>
                <w:sz w:val="18"/>
                <w:szCs w:val="16"/>
              </w:rPr>
              <w:t>upply through design of primary infrastructure to withstand relevant hazards</w:t>
            </w:r>
            <w:r w:rsidR="00196EA3">
              <w:rPr>
                <w:sz w:val="18"/>
                <w:szCs w:val="16"/>
              </w:rPr>
              <w:t xml:space="preserve"> and threats.</w:t>
            </w:r>
            <w:r w:rsidRPr="009017AC">
              <w:rPr>
                <w:sz w:val="18"/>
                <w:szCs w:val="16"/>
              </w:rPr>
              <w:t xml:space="preserve"> </w:t>
            </w:r>
          </w:p>
        </w:tc>
        <w:tc>
          <w:tcPr>
            <w:tcW w:w="1854" w:type="dxa"/>
            <w:tcBorders>
              <w:left w:val="single" w:sz="4" w:space="0" w:color="auto"/>
              <w:right w:val="single" w:sz="4" w:space="0" w:color="auto"/>
            </w:tcBorders>
            <w:shd w:val="clear" w:color="auto" w:fill="FFFFFF" w:themeFill="background1"/>
            <w:vAlign w:val="center"/>
          </w:tcPr>
          <w:p w:rsidR="009017AC" w:rsidRPr="009017AC" w:rsidRDefault="009017AC" w:rsidP="009017AC">
            <w:pPr>
              <w:rPr>
                <w:sz w:val="18"/>
                <w:szCs w:val="16"/>
              </w:rPr>
            </w:pPr>
            <w:r w:rsidRPr="009017AC">
              <w:rPr>
                <w:sz w:val="18"/>
                <w:szCs w:val="16"/>
              </w:rPr>
              <w:t>Reduce vulnerability to relevant hazards</w:t>
            </w:r>
            <w:r w:rsidRPr="009017AC" w:rsidDel="00D12D75">
              <w:rPr>
                <w:sz w:val="18"/>
                <w:szCs w:val="16"/>
              </w:rPr>
              <w:t xml:space="preserve"> </w:t>
            </w:r>
            <w:r w:rsidR="00196EA3">
              <w:rPr>
                <w:sz w:val="18"/>
                <w:szCs w:val="16"/>
              </w:rPr>
              <w:t xml:space="preserve">and threats </w:t>
            </w:r>
            <w:r w:rsidRPr="009017AC">
              <w:rPr>
                <w:sz w:val="18"/>
                <w:szCs w:val="16"/>
              </w:rPr>
              <w:t>through design of redundant systems to withstand those hazards</w:t>
            </w:r>
            <w:r w:rsidR="00196EA3">
              <w:rPr>
                <w:sz w:val="18"/>
                <w:szCs w:val="16"/>
              </w:rPr>
              <w:t xml:space="preserve"> and threats</w:t>
            </w:r>
            <w:r w:rsidRPr="009017AC">
              <w:rPr>
                <w:sz w:val="18"/>
                <w:szCs w:val="16"/>
              </w:rPr>
              <w:t xml:space="preserve">, testing and performing O&amp;M on systems, ensuring </w:t>
            </w:r>
            <w:r w:rsidR="00196EA3">
              <w:rPr>
                <w:sz w:val="18"/>
                <w:szCs w:val="16"/>
              </w:rPr>
              <w:t>redundant</w:t>
            </w:r>
            <w:r w:rsidRPr="009017AC">
              <w:rPr>
                <w:sz w:val="18"/>
                <w:szCs w:val="16"/>
              </w:rPr>
              <w:t xml:space="preserve"> system supplies, and training personnel to use redundant systems</w:t>
            </w:r>
            <w:r w:rsidR="00196EA3">
              <w:rPr>
                <w:sz w:val="18"/>
                <w:szCs w:val="16"/>
              </w:rPr>
              <w:t>.</w:t>
            </w:r>
            <w:r w:rsidRPr="009017AC">
              <w:rPr>
                <w:sz w:val="18"/>
                <w:szCs w:val="16"/>
              </w:rPr>
              <w:t xml:space="preserve"> </w:t>
            </w:r>
          </w:p>
        </w:tc>
        <w:tc>
          <w:tcPr>
            <w:tcW w:w="1855" w:type="dxa"/>
            <w:tcBorders>
              <w:left w:val="single" w:sz="4" w:space="0" w:color="auto"/>
            </w:tcBorders>
            <w:shd w:val="clear" w:color="auto" w:fill="FFFFFF" w:themeFill="background1"/>
            <w:vAlign w:val="center"/>
          </w:tcPr>
          <w:p w:rsidR="009017AC" w:rsidRPr="009017AC" w:rsidRDefault="009366A5" w:rsidP="009017AC">
            <w:pPr>
              <w:rPr>
                <w:sz w:val="18"/>
                <w:szCs w:val="16"/>
              </w:rPr>
            </w:pPr>
            <w:r>
              <w:rPr>
                <w:sz w:val="18"/>
                <w:szCs w:val="16"/>
              </w:rPr>
              <w:t>Reduce consequences of a disruption by relocating key operations and functions during emergency situations.</w:t>
            </w:r>
          </w:p>
        </w:tc>
      </w:tr>
      <w:tr w:rsidR="00612B11" w:rsidRPr="009017AC" w:rsidTr="00F13422">
        <w:trPr>
          <w:trHeight w:val="1988"/>
        </w:trPr>
        <w:tc>
          <w:tcPr>
            <w:tcW w:w="564" w:type="dxa"/>
            <w:vMerge/>
            <w:shd w:val="clear" w:color="auto" w:fill="7F7F7F" w:themeFill="text1" w:themeFillTint="80"/>
            <w:vAlign w:val="center"/>
          </w:tcPr>
          <w:p w:rsidR="009017AC" w:rsidRPr="009017AC" w:rsidRDefault="009017AC" w:rsidP="009017AC">
            <w:pPr>
              <w:jc w:val="center"/>
              <w:rPr>
                <w:sz w:val="20"/>
              </w:rPr>
            </w:pPr>
          </w:p>
        </w:tc>
        <w:tc>
          <w:tcPr>
            <w:tcW w:w="3222" w:type="dxa"/>
            <w:tcBorders>
              <w:right w:val="single" w:sz="4" w:space="0" w:color="auto"/>
            </w:tcBorders>
            <w:shd w:val="clear" w:color="auto" w:fill="D9D9D9" w:themeFill="background1" w:themeFillShade="D9"/>
            <w:vAlign w:val="center"/>
          </w:tcPr>
          <w:p w:rsidR="009017AC" w:rsidRPr="00612B11" w:rsidRDefault="009017AC" w:rsidP="009017AC">
            <w:pPr>
              <w:rPr>
                <w:sz w:val="20"/>
              </w:rPr>
            </w:pPr>
            <w:r w:rsidRPr="00612B11">
              <w:rPr>
                <w:b/>
                <w:sz w:val="20"/>
              </w:rPr>
              <w:t>Recovery:</w:t>
            </w:r>
            <w:r w:rsidRPr="00612B11">
              <w:rPr>
                <w:sz w:val="20"/>
              </w:rPr>
              <w:t xml:space="preserve"> the ability to return to and/or reconstitute normal operations as quickly and efficiently as possible after a disruption </w:t>
            </w:r>
          </w:p>
          <w:p w:rsidR="009017AC" w:rsidRPr="00612B11" w:rsidRDefault="009017AC" w:rsidP="009017AC">
            <w:pPr>
              <w:jc w:val="center"/>
              <w:rPr>
                <w:sz w:val="20"/>
              </w:rPr>
            </w:pPr>
          </w:p>
        </w:tc>
        <w:tc>
          <w:tcPr>
            <w:tcW w:w="1855" w:type="dxa"/>
            <w:tcBorders>
              <w:left w:val="single" w:sz="4" w:space="0" w:color="auto"/>
              <w:right w:val="single" w:sz="4" w:space="0" w:color="auto"/>
            </w:tcBorders>
            <w:shd w:val="clear" w:color="auto" w:fill="FFFFFF" w:themeFill="background1"/>
            <w:vAlign w:val="center"/>
          </w:tcPr>
          <w:p w:rsidR="009017AC" w:rsidRPr="009017AC" w:rsidRDefault="00B20798" w:rsidP="009017AC">
            <w:pPr>
              <w:rPr>
                <w:sz w:val="18"/>
                <w:szCs w:val="16"/>
              </w:rPr>
            </w:pPr>
            <w:r>
              <w:rPr>
                <w:sz w:val="18"/>
                <w:szCs w:val="16"/>
              </w:rPr>
              <w:t xml:space="preserve">Reduce length of </w:t>
            </w:r>
            <w:r w:rsidR="004D7A16">
              <w:rPr>
                <w:sz w:val="18"/>
                <w:szCs w:val="16"/>
              </w:rPr>
              <w:t xml:space="preserve">utility </w:t>
            </w:r>
            <w:r>
              <w:rPr>
                <w:sz w:val="18"/>
                <w:szCs w:val="16"/>
              </w:rPr>
              <w:t xml:space="preserve">disruption </w:t>
            </w:r>
            <w:r w:rsidR="004D7A16">
              <w:rPr>
                <w:sz w:val="18"/>
                <w:szCs w:val="16"/>
              </w:rPr>
              <w:t xml:space="preserve">through utility </w:t>
            </w:r>
            <w:r w:rsidR="00C37794">
              <w:rPr>
                <w:sz w:val="18"/>
                <w:szCs w:val="16"/>
              </w:rPr>
              <w:t>c</w:t>
            </w:r>
            <w:r w:rsidR="00F13422">
              <w:rPr>
                <w:sz w:val="18"/>
                <w:szCs w:val="16"/>
              </w:rPr>
              <w:t>ontinuity of operations plans</w:t>
            </w:r>
            <w:r w:rsidR="009366A5">
              <w:rPr>
                <w:sz w:val="18"/>
                <w:szCs w:val="16"/>
              </w:rPr>
              <w:t>, equipment</w:t>
            </w:r>
            <w:r w:rsidR="00196EA3">
              <w:rPr>
                <w:sz w:val="18"/>
                <w:szCs w:val="16"/>
              </w:rPr>
              <w:t>,</w:t>
            </w:r>
            <w:r w:rsidR="009366A5">
              <w:rPr>
                <w:sz w:val="18"/>
                <w:szCs w:val="16"/>
              </w:rPr>
              <w:t xml:space="preserve"> and spare parts</w:t>
            </w:r>
            <w:r w:rsidR="00F13422">
              <w:rPr>
                <w:sz w:val="18"/>
                <w:szCs w:val="16"/>
              </w:rPr>
              <w:t xml:space="preserve"> in place to return to normal operations as quickly as possible</w:t>
            </w:r>
            <w:r w:rsidR="00196EA3">
              <w:rPr>
                <w:sz w:val="18"/>
                <w:szCs w:val="16"/>
              </w:rPr>
              <w:t>.</w:t>
            </w:r>
            <w:r w:rsidR="00F13422">
              <w:rPr>
                <w:sz w:val="18"/>
                <w:szCs w:val="16"/>
              </w:rPr>
              <w:t xml:space="preserve"> </w:t>
            </w:r>
          </w:p>
        </w:tc>
        <w:tc>
          <w:tcPr>
            <w:tcW w:w="1854" w:type="dxa"/>
            <w:tcBorders>
              <w:left w:val="single" w:sz="4" w:space="0" w:color="auto"/>
              <w:right w:val="single" w:sz="4" w:space="0" w:color="auto"/>
            </w:tcBorders>
            <w:shd w:val="clear" w:color="auto" w:fill="FFFFFF" w:themeFill="background1"/>
            <w:vAlign w:val="center"/>
          </w:tcPr>
          <w:p w:rsidR="009017AC" w:rsidRPr="009017AC" w:rsidRDefault="009366A5" w:rsidP="009017AC">
            <w:pPr>
              <w:rPr>
                <w:sz w:val="18"/>
                <w:szCs w:val="16"/>
              </w:rPr>
            </w:pPr>
            <w:r w:rsidRPr="009017AC">
              <w:rPr>
                <w:sz w:val="18"/>
                <w:szCs w:val="16"/>
              </w:rPr>
              <w:t>Reduce vulnerability to relevant hazards</w:t>
            </w:r>
            <w:r w:rsidRPr="009017AC" w:rsidDel="00D12D75">
              <w:rPr>
                <w:sz w:val="18"/>
                <w:szCs w:val="16"/>
              </w:rPr>
              <w:t xml:space="preserve"> </w:t>
            </w:r>
            <w:r w:rsidR="00196EA3">
              <w:rPr>
                <w:sz w:val="18"/>
                <w:szCs w:val="16"/>
              </w:rPr>
              <w:t xml:space="preserve">and threats </w:t>
            </w:r>
            <w:r w:rsidRPr="009017AC">
              <w:rPr>
                <w:sz w:val="18"/>
                <w:szCs w:val="16"/>
              </w:rPr>
              <w:t xml:space="preserve">through design of redundant systems to </w:t>
            </w:r>
            <w:r>
              <w:rPr>
                <w:sz w:val="18"/>
                <w:szCs w:val="16"/>
              </w:rPr>
              <w:t>have rapid start</w:t>
            </w:r>
            <w:r w:rsidR="00083245">
              <w:rPr>
                <w:sz w:val="18"/>
                <w:szCs w:val="16"/>
              </w:rPr>
              <w:t>-</w:t>
            </w:r>
            <w:r>
              <w:rPr>
                <w:sz w:val="18"/>
                <w:szCs w:val="16"/>
              </w:rPr>
              <w:t>up for fast recovery time</w:t>
            </w:r>
            <w:r w:rsidR="00196EA3">
              <w:rPr>
                <w:sz w:val="18"/>
                <w:szCs w:val="16"/>
              </w:rPr>
              <w:t>.</w:t>
            </w:r>
          </w:p>
        </w:tc>
        <w:tc>
          <w:tcPr>
            <w:tcW w:w="1855" w:type="dxa"/>
            <w:tcBorders>
              <w:left w:val="single" w:sz="4" w:space="0" w:color="auto"/>
            </w:tcBorders>
            <w:shd w:val="clear" w:color="auto" w:fill="FFFFFF" w:themeFill="background1"/>
            <w:vAlign w:val="center"/>
          </w:tcPr>
          <w:p w:rsidR="009017AC" w:rsidRPr="009017AC" w:rsidRDefault="009017AC" w:rsidP="009017AC">
            <w:pPr>
              <w:rPr>
                <w:sz w:val="18"/>
                <w:szCs w:val="16"/>
              </w:rPr>
            </w:pPr>
            <w:r w:rsidRPr="009017AC">
              <w:rPr>
                <w:sz w:val="18"/>
                <w:szCs w:val="16"/>
              </w:rPr>
              <w:t xml:space="preserve">Reduce long-term consequences after a disruption occurs through mutual aid/supply agreements and recovery plans and ensuring that </w:t>
            </w:r>
            <w:r w:rsidR="00F13422">
              <w:rPr>
                <w:sz w:val="18"/>
                <w:szCs w:val="16"/>
              </w:rPr>
              <w:t>extra</w:t>
            </w:r>
            <w:r w:rsidRPr="009017AC">
              <w:rPr>
                <w:sz w:val="18"/>
                <w:szCs w:val="16"/>
              </w:rPr>
              <w:t xml:space="preserve"> equipment and parts are </w:t>
            </w:r>
            <w:r w:rsidR="00F13422">
              <w:rPr>
                <w:sz w:val="18"/>
                <w:szCs w:val="16"/>
              </w:rPr>
              <w:t>available</w:t>
            </w:r>
            <w:r w:rsidR="00196EA3">
              <w:rPr>
                <w:sz w:val="18"/>
                <w:szCs w:val="16"/>
              </w:rPr>
              <w:t>.</w:t>
            </w:r>
          </w:p>
        </w:tc>
      </w:tr>
    </w:tbl>
    <w:p w:rsidR="009017AC" w:rsidRDefault="009017AC" w:rsidP="00E4033B">
      <w:pPr>
        <w:rPr>
          <w:lang w:eastAsia="zh-CN"/>
        </w:rPr>
      </w:pPr>
    </w:p>
    <w:p w:rsidR="000E45AD" w:rsidRDefault="000E45AD" w:rsidP="000E45AD"/>
    <w:p w:rsidR="000E45AD" w:rsidRDefault="000E45AD" w:rsidP="000E45AD"/>
    <w:p w:rsidR="000E45AD" w:rsidRPr="007A13C0" w:rsidRDefault="000E45AD" w:rsidP="00E4033B">
      <w:pPr>
        <w:rPr>
          <w:lang w:eastAsia="zh-CN"/>
        </w:rPr>
      </w:pPr>
    </w:p>
    <w:sectPr w:rsidR="000E45AD" w:rsidRPr="007A13C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7B9" w:rsidRDefault="00AA27B9" w:rsidP="00E42FB3">
      <w:pPr>
        <w:spacing w:after="0" w:line="240" w:lineRule="auto"/>
      </w:pPr>
      <w:r>
        <w:separator/>
      </w:r>
    </w:p>
  </w:endnote>
  <w:endnote w:type="continuationSeparator" w:id="0">
    <w:p w:rsidR="00AA27B9" w:rsidRDefault="00AA27B9" w:rsidP="00E42FB3">
      <w:pPr>
        <w:spacing w:after="0" w:line="240" w:lineRule="auto"/>
      </w:pPr>
      <w:r>
        <w:continuationSeparator/>
      </w:r>
    </w:p>
  </w:endnote>
  <w:endnote w:type="continuationNotice" w:id="1">
    <w:p w:rsidR="00AA27B9" w:rsidRDefault="00AA2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45F" w:rsidRDefault="00A534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7900"/>
      <w:docPartObj>
        <w:docPartGallery w:val="Page Numbers (Bottom of Page)"/>
        <w:docPartUnique/>
      </w:docPartObj>
    </w:sdtPr>
    <w:sdtEndPr>
      <w:rPr>
        <w:noProof/>
      </w:rPr>
    </w:sdtEndPr>
    <w:sdtContent>
      <w:p w:rsidR="00E42FB3" w:rsidRDefault="000B6AFD" w:rsidP="000B6AFD">
        <w:pPr>
          <w:pStyle w:val="Footer"/>
        </w:pPr>
        <w:r>
          <w:tab/>
        </w:r>
        <w:r w:rsidR="00E42FB3">
          <w:fldChar w:fldCharType="begin"/>
        </w:r>
        <w:r w:rsidR="00E42FB3">
          <w:instrText xml:space="preserve"> PAGE   \* MERGEFORMAT </w:instrText>
        </w:r>
        <w:r w:rsidR="00E42FB3">
          <w:fldChar w:fldCharType="separate"/>
        </w:r>
        <w:r w:rsidR="00A5345F">
          <w:rPr>
            <w:noProof/>
          </w:rPr>
          <w:t>1</w:t>
        </w:r>
        <w:r w:rsidR="00E42FB3">
          <w:rPr>
            <w:noProof/>
          </w:rPr>
          <w:fldChar w:fldCharType="end"/>
        </w:r>
      </w:p>
    </w:sdtContent>
  </w:sdt>
  <w:p w:rsidR="00E42FB3" w:rsidRDefault="00E42F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45F" w:rsidRDefault="00A534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7B9" w:rsidRDefault="00AA27B9" w:rsidP="00E42FB3">
      <w:pPr>
        <w:spacing w:after="0" w:line="240" w:lineRule="auto"/>
      </w:pPr>
      <w:r>
        <w:separator/>
      </w:r>
    </w:p>
  </w:footnote>
  <w:footnote w:type="continuationSeparator" w:id="0">
    <w:p w:rsidR="00AA27B9" w:rsidRDefault="00AA27B9" w:rsidP="00E42FB3">
      <w:pPr>
        <w:spacing w:after="0" w:line="240" w:lineRule="auto"/>
      </w:pPr>
      <w:r>
        <w:continuationSeparator/>
      </w:r>
    </w:p>
  </w:footnote>
  <w:footnote w:type="continuationNotice" w:id="1">
    <w:p w:rsidR="00AA27B9" w:rsidRDefault="00AA27B9">
      <w:pPr>
        <w:spacing w:after="0" w:line="240" w:lineRule="auto"/>
      </w:pPr>
    </w:p>
  </w:footnote>
  <w:footnote w:id="2">
    <w:p w:rsidR="007A13C0" w:rsidRDefault="007A13C0">
      <w:pPr>
        <w:pStyle w:val="FootnoteText"/>
      </w:pPr>
      <w:r>
        <w:rPr>
          <w:rStyle w:val="FootnoteReference"/>
        </w:rPr>
        <w:footnoteRef/>
      </w:r>
      <w:r>
        <w:t xml:space="preserve"> </w:t>
      </w:r>
      <w:proofErr w:type="spellStart"/>
      <w:r>
        <w:rPr>
          <w:lang w:eastAsia="zh-CN"/>
        </w:rPr>
        <w:t>Gutteling</w:t>
      </w:r>
      <w:proofErr w:type="spellEnd"/>
      <w:r>
        <w:rPr>
          <w:lang w:eastAsia="zh-CN"/>
        </w:rPr>
        <w:t xml:space="preserve"> and </w:t>
      </w:r>
      <w:proofErr w:type="spellStart"/>
      <w:r>
        <w:rPr>
          <w:lang w:eastAsia="zh-CN"/>
        </w:rPr>
        <w:t>Wiegman</w:t>
      </w:r>
      <w:proofErr w:type="spellEnd"/>
      <w:r>
        <w:rPr>
          <w:lang w:eastAsia="zh-CN"/>
        </w:rPr>
        <w:t xml:space="preserve"> 1996, FEMA 2005, and NRC 2010</w:t>
      </w:r>
      <w:r w:rsidR="0080547B">
        <w:rPr>
          <w:lang w:eastAsia="zh-C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45F" w:rsidRDefault="00A534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B3" w:rsidRDefault="00E42FB3">
    <w:pPr>
      <w:pStyle w:val="Header"/>
    </w:pPr>
    <w:bookmarkStart w:id="0" w:name="_GoBack"/>
    <w:r>
      <w:rPr>
        <w:noProof/>
      </w:rPr>
      <w:drawing>
        <wp:inline distT="0" distB="0" distL="0" distR="0" wp14:anchorId="6824B53F" wp14:editId="634A2653">
          <wp:extent cx="1304925" cy="4591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338659" cy="470970"/>
                  </a:xfrm>
                  <a:prstGeom prst="rect">
                    <a:avLst/>
                  </a:prstGeom>
                  <a:ln>
                    <a:noFill/>
                  </a:ln>
                  <a:extLst>
                    <a:ext uri="{53640926-AAD7-44D8-BBD7-CCE9431645EC}">
                      <a14:shadowObscured xmlns:a14="http://schemas.microsoft.com/office/drawing/2010/main"/>
                    </a:ext>
                  </a:extLst>
                </pic:spPr>
              </pic:pic>
            </a:graphicData>
          </a:graphic>
        </wp:inline>
      </w:drawing>
    </w:r>
    <w:bookmarkEnd w:id="0"/>
    <w:r>
      <w:tab/>
    </w:r>
    <w:r w:rsidRPr="00E42FB3">
      <w:rPr>
        <w:sz w:val="32"/>
      </w:rPr>
      <w:t>Technical Resilience Navigator</w:t>
    </w:r>
  </w:p>
  <w:p w:rsidR="00E42FB3" w:rsidRDefault="00E42F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45F" w:rsidRDefault="00A534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A6CDF"/>
    <w:multiLevelType w:val="hybridMultilevel"/>
    <w:tmpl w:val="0A8AB53E"/>
    <w:lvl w:ilvl="0" w:tplc="04090001">
      <w:start w:val="1"/>
      <w:numFmt w:val="bullet"/>
      <w:lvlText w:val=""/>
      <w:lvlJc w:val="left"/>
      <w:pPr>
        <w:ind w:left="820" w:hanging="4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2275E"/>
    <w:multiLevelType w:val="multilevel"/>
    <w:tmpl w:val="DB4A44E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CB2272"/>
    <w:multiLevelType w:val="hybridMultilevel"/>
    <w:tmpl w:val="4F8E5C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FB7699C"/>
    <w:multiLevelType w:val="hybridMultilevel"/>
    <w:tmpl w:val="30F0AFB4"/>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D240C"/>
    <w:multiLevelType w:val="hybridMultilevel"/>
    <w:tmpl w:val="F25C349E"/>
    <w:lvl w:ilvl="0" w:tplc="0409000F">
      <w:start w:val="1"/>
      <w:numFmt w:val="decimal"/>
      <w:lvlText w:val="%1."/>
      <w:lvlJc w:val="left"/>
      <w:pPr>
        <w:ind w:left="274" w:hanging="360"/>
      </w:p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 w15:restartNumberingAfterBreak="0">
    <w:nsid w:val="268336A7"/>
    <w:multiLevelType w:val="hybridMultilevel"/>
    <w:tmpl w:val="DE58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41C86"/>
    <w:multiLevelType w:val="hybridMultilevel"/>
    <w:tmpl w:val="0BF0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34F27"/>
    <w:multiLevelType w:val="hybridMultilevel"/>
    <w:tmpl w:val="F604918E"/>
    <w:lvl w:ilvl="0" w:tplc="B5482FB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06AA2"/>
    <w:multiLevelType w:val="hybridMultilevel"/>
    <w:tmpl w:val="03CE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E3B21"/>
    <w:multiLevelType w:val="hybridMultilevel"/>
    <w:tmpl w:val="F7BEFC9A"/>
    <w:lvl w:ilvl="0" w:tplc="946C6046">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6D50594B"/>
    <w:multiLevelType w:val="hybridMultilevel"/>
    <w:tmpl w:val="18802CC8"/>
    <w:lvl w:ilvl="0" w:tplc="BB2C33D0">
      <w:start w:val="2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11"/>
  </w:num>
  <w:num w:numId="5">
    <w:abstractNumId w:val="3"/>
  </w:num>
  <w:num w:numId="6">
    <w:abstractNumId w:val="10"/>
  </w:num>
  <w:num w:numId="7">
    <w:abstractNumId w:val="0"/>
  </w:num>
  <w:num w:numId="8">
    <w:abstractNumId w:val="4"/>
  </w:num>
  <w:num w:numId="9">
    <w:abstractNumId w:val="1"/>
  </w:num>
  <w:num w:numId="10">
    <w:abstractNumId w:val="2"/>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B3"/>
    <w:rsid w:val="000124EC"/>
    <w:rsid w:val="00014F1E"/>
    <w:rsid w:val="000172F2"/>
    <w:rsid w:val="00025688"/>
    <w:rsid w:val="000415B9"/>
    <w:rsid w:val="00046FF1"/>
    <w:rsid w:val="00082BB9"/>
    <w:rsid w:val="00083245"/>
    <w:rsid w:val="00096B1B"/>
    <w:rsid w:val="000A77B7"/>
    <w:rsid w:val="000B27E8"/>
    <w:rsid w:val="000B6AFD"/>
    <w:rsid w:val="000C68EE"/>
    <w:rsid w:val="000E45AD"/>
    <w:rsid w:val="00110FB4"/>
    <w:rsid w:val="00122270"/>
    <w:rsid w:val="00122D1A"/>
    <w:rsid w:val="0012506E"/>
    <w:rsid w:val="0014469A"/>
    <w:rsid w:val="00170CFB"/>
    <w:rsid w:val="00171DB0"/>
    <w:rsid w:val="00182958"/>
    <w:rsid w:val="00192A80"/>
    <w:rsid w:val="00196EA3"/>
    <w:rsid w:val="001A65D2"/>
    <w:rsid w:val="001E7C29"/>
    <w:rsid w:val="002275B1"/>
    <w:rsid w:val="0024393F"/>
    <w:rsid w:val="0026068D"/>
    <w:rsid w:val="002638EF"/>
    <w:rsid w:val="002667CB"/>
    <w:rsid w:val="002720B7"/>
    <w:rsid w:val="00274591"/>
    <w:rsid w:val="00283180"/>
    <w:rsid w:val="002B7051"/>
    <w:rsid w:val="002D12A6"/>
    <w:rsid w:val="002F0EB6"/>
    <w:rsid w:val="002F2D7C"/>
    <w:rsid w:val="00302D91"/>
    <w:rsid w:val="00325CCF"/>
    <w:rsid w:val="00333CAF"/>
    <w:rsid w:val="00336187"/>
    <w:rsid w:val="0034734D"/>
    <w:rsid w:val="003502DA"/>
    <w:rsid w:val="00355181"/>
    <w:rsid w:val="00380447"/>
    <w:rsid w:val="00391F40"/>
    <w:rsid w:val="003A177E"/>
    <w:rsid w:val="00405FC1"/>
    <w:rsid w:val="00426155"/>
    <w:rsid w:val="00440911"/>
    <w:rsid w:val="0045678F"/>
    <w:rsid w:val="00470BB3"/>
    <w:rsid w:val="00475322"/>
    <w:rsid w:val="004D0596"/>
    <w:rsid w:val="004D7A16"/>
    <w:rsid w:val="004F0B36"/>
    <w:rsid w:val="005126A3"/>
    <w:rsid w:val="005166BA"/>
    <w:rsid w:val="00517A0E"/>
    <w:rsid w:val="00535556"/>
    <w:rsid w:val="00555135"/>
    <w:rsid w:val="00564980"/>
    <w:rsid w:val="00573C08"/>
    <w:rsid w:val="005962E2"/>
    <w:rsid w:val="00596DFA"/>
    <w:rsid w:val="005B3F91"/>
    <w:rsid w:val="005C6C32"/>
    <w:rsid w:val="005D7083"/>
    <w:rsid w:val="00612B11"/>
    <w:rsid w:val="0061482C"/>
    <w:rsid w:val="006264C7"/>
    <w:rsid w:val="00626EDD"/>
    <w:rsid w:val="00630AF7"/>
    <w:rsid w:val="00641B98"/>
    <w:rsid w:val="00692DD0"/>
    <w:rsid w:val="00694A3B"/>
    <w:rsid w:val="0069585C"/>
    <w:rsid w:val="006C654D"/>
    <w:rsid w:val="006C6710"/>
    <w:rsid w:val="006C71D2"/>
    <w:rsid w:val="006E2BC7"/>
    <w:rsid w:val="006F0B18"/>
    <w:rsid w:val="006F4770"/>
    <w:rsid w:val="00707D98"/>
    <w:rsid w:val="00717BBC"/>
    <w:rsid w:val="0072687A"/>
    <w:rsid w:val="00733C4A"/>
    <w:rsid w:val="00735B8B"/>
    <w:rsid w:val="00780548"/>
    <w:rsid w:val="00780775"/>
    <w:rsid w:val="007856C3"/>
    <w:rsid w:val="00791158"/>
    <w:rsid w:val="007A13C0"/>
    <w:rsid w:val="007B0B5B"/>
    <w:rsid w:val="007B2C7F"/>
    <w:rsid w:val="007B43F2"/>
    <w:rsid w:val="007D6357"/>
    <w:rsid w:val="007E30AC"/>
    <w:rsid w:val="007E6442"/>
    <w:rsid w:val="007F046F"/>
    <w:rsid w:val="007F7954"/>
    <w:rsid w:val="0080547B"/>
    <w:rsid w:val="00807F1C"/>
    <w:rsid w:val="00817E37"/>
    <w:rsid w:val="008258DD"/>
    <w:rsid w:val="00835942"/>
    <w:rsid w:val="008542D2"/>
    <w:rsid w:val="00856205"/>
    <w:rsid w:val="008646F1"/>
    <w:rsid w:val="008677C3"/>
    <w:rsid w:val="00884AED"/>
    <w:rsid w:val="008879EB"/>
    <w:rsid w:val="00891DDD"/>
    <w:rsid w:val="008A12F5"/>
    <w:rsid w:val="008A3CCD"/>
    <w:rsid w:val="008B67D5"/>
    <w:rsid w:val="009017AC"/>
    <w:rsid w:val="0090509F"/>
    <w:rsid w:val="00906FEA"/>
    <w:rsid w:val="00912261"/>
    <w:rsid w:val="0092444E"/>
    <w:rsid w:val="009366A5"/>
    <w:rsid w:val="009445B1"/>
    <w:rsid w:val="00970A2B"/>
    <w:rsid w:val="00970E81"/>
    <w:rsid w:val="00973C9A"/>
    <w:rsid w:val="009751DA"/>
    <w:rsid w:val="009847F8"/>
    <w:rsid w:val="00986DE3"/>
    <w:rsid w:val="009A285D"/>
    <w:rsid w:val="009D20D6"/>
    <w:rsid w:val="009D39DD"/>
    <w:rsid w:val="009E4DE0"/>
    <w:rsid w:val="009F1C2A"/>
    <w:rsid w:val="00A4526E"/>
    <w:rsid w:val="00A46D18"/>
    <w:rsid w:val="00A5345F"/>
    <w:rsid w:val="00A75209"/>
    <w:rsid w:val="00A82C9C"/>
    <w:rsid w:val="00A8531B"/>
    <w:rsid w:val="00A86A33"/>
    <w:rsid w:val="00A95A8E"/>
    <w:rsid w:val="00AA27B9"/>
    <w:rsid w:val="00AD5260"/>
    <w:rsid w:val="00AD728B"/>
    <w:rsid w:val="00AE3BD1"/>
    <w:rsid w:val="00B015A6"/>
    <w:rsid w:val="00B059E2"/>
    <w:rsid w:val="00B2012F"/>
    <w:rsid w:val="00B20798"/>
    <w:rsid w:val="00B35FCE"/>
    <w:rsid w:val="00B57AA3"/>
    <w:rsid w:val="00B624D1"/>
    <w:rsid w:val="00B6255C"/>
    <w:rsid w:val="00B74471"/>
    <w:rsid w:val="00B832EE"/>
    <w:rsid w:val="00B874A2"/>
    <w:rsid w:val="00BC586D"/>
    <w:rsid w:val="00BF04FD"/>
    <w:rsid w:val="00BF55B7"/>
    <w:rsid w:val="00C04195"/>
    <w:rsid w:val="00C37172"/>
    <w:rsid w:val="00C37794"/>
    <w:rsid w:val="00C61D7D"/>
    <w:rsid w:val="00C64E1D"/>
    <w:rsid w:val="00C70EB3"/>
    <w:rsid w:val="00C75304"/>
    <w:rsid w:val="00C80ED5"/>
    <w:rsid w:val="00CF2084"/>
    <w:rsid w:val="00D06C5B"/>
    <w:rsid w:val="00D1166D"/>
    <w:rsid w:val="00D15212"/>
    <w:rsid w:val="00D1796F"/>
    <w:rsid w:val="00D30700"/>
    <w:rsid w:val="00D336A9"/>
    <w:rsid w:val="00D33ED2"/>
    <w:rsid w:val="00D36EF2"/>
    <w:rsid w:val="00D42AFF"/>
    <w:rsid w:val="00D44453"/>
    <w:rsid w:val="00D541D0"/>
    <w:rsid w:val="00D622F9"/>
    <w:rsid w:val="00D66DF9"/>
    <w:rsid w:val="00D766A5"/>
    <w:rsid w:val="00D81905"/>
    <w:rsid w:val="00D96B2A"/>
    <w:rsid w:val="00DC0993"/>
    <w:rsid w:val="00DE69C5"/>
    <w:rsid w:val="00DF3BF5"/>
    <w:rsid w:val="00E012F3"/>
    <w:rsid w:val="00E127B4"/>
    <w:rsid w:val="00E37CD6"/>
    <w:rsid w:val="00E4033B"/>
    <w:rsid w:val="00E42FB3"/>
    <w:rsid w:val="00E61758"/>
    <w:rsid w:val="00E7037D"/>
    <w:rsid w:val="00E705F4"/>
    <w:rsid w:val="00E70AD9"/>
    <w:rsid w:val="00E80BF2"/>
    <w:rsid w:val="00E81141"/>
    <w:rsid w:val="00E859E5"/>
    <w:rsid w:val="00E903FA"/>
    <w:rsid w:val="00EA3A97"/>
    <w:rsid w:val="00EA448A"/>
    <w:rsid w:val="00EC6326"/>
    <w:rsid w:val="00EE750F"/>
    <w:rsid w:val="00EF0D04"/>
    <w:rsid w:val="00F02A33"/>
    <w:rsid w:val="00F13422"/>
    <w:rsid w:val="00F20C43"/>
    <w:rsid w:val="00F303D5"/>
    <w:rsid w:val="00F36590"/>
    <w:rsid w:val="00F5488D"/>
    <w:rsid w:val="00F605CC"/>
    <w:rsid w:val="00F6606F"/>
    <w:rsid w:val="00F71647"/>
    <w:rsid w:val="00F77F57"/>
    <w:rsid w:val="00FE0155"/>
    <w:rsid w:val="00FE3400"/>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A626D-4D2E-46AC-8225-E548CE86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B3"/>
  </w:style>
  <w:style w:type="paragraph" w:styleId="Heading1">
    <w:name w:val="heading 1"/>
    <w:basedOn w:val="Normal"/>
    <w:next w:val="Normal"/>
    <w:link w:val="Heading1Char"/>
    <w:uiPriority w:val="9"/>
    <w:qFormat/>
    <w:rsid w:val="00807F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7F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ELBodyText">
    <w:name w:val="NREL_Body_Text"/>
    <w:link w:val="NRELBodyTextCharChar"/>
    <w:qFormat/>
    <w:rsid w:val="00E42FB3"/>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E42FB3"/>
    <w:rPr>
      <w:rFonts w:ascii="Times New Roman" w:eastAsia="Times" w:hAnsi="Times New Roman" w:cs="Times New Roman"/>
      <w:color w:val="000000" w:themeColor="text1"/>
      <w:sz w:val="24"/>
      <w:szCs w:val="20"/>
    </w:rPr>
  </w:style>
  <w:style w:type="table" w:styleId="TableGrid">
    <w:name w:val="Table Grid"/>
    <w:basedOn w:val="TableNormal"/>
    <w:uiPriority w:val="39"/>
    <w:rsid w:val="00E42F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4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FB3"/>
  </w:style>
  <w:style w:type="paragraph" w:styleId="Footer">
    <w:name w:val="footer"/>
    <w:basedOn w:val="Normal"/>
    <w:link w:val="FooterChar"/>
    <w:uiPriority w:val="99"/>
    <w:unhideWhenUsed/>
    <w:rsid w:val="00E4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FB3"/>
  </w:style>
  <w:style w:type="paragraph" w:styleId="BalloonText">
    <w:name w:val="Balloon Text"/>
    <w:basedOn w:val="Normal"/>
    <w:link w:val="BalloonTextChar"/>
    <w:uiPriority w:val="99"/>
    <w:semiHidden/>
    <w:unhideWhenUsed/>
    <w:rsid w:val="00807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F1C"/>
    <w:rPr>
      <w:rFonts w:ascii="Segoe UI" w:hAnsi="Segoe UI" w:cs="Segoe UI"/>
      <w:sz w:val="18"/>
      <w:szCs w:val="18"/>
    </w:rPr>
  </w:style>
  <w:style w:type="character" w:customStyle="1" w:styleId="Heading1Char">
    <w:name w:val="Heading 1 Char"/>
    <w:basedOn w:val="DefaultParagraphFont"/>
    <w:link w:val="Heading1"/>
    <w:uiPriority w:val="9"/>
    <w:rsid w:val="00807F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7F1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07F1C"/>
    <w:pPr>
      <w:ind w:left="720"/>
      <w:contextualSpacing/>
    </w:pPr>
  </w:style>
  <w:style w:type="character" w:styleId="CommentReference">
    <w:name w:val="annotation reference"/>
    <w:basedOn w:val="DefaultParagraphFont"/>
    <w:uiPriority w:val="99"/>
    <w:semiHidden/>
    <w:unhideWhenUsed/>
    <w:rsid w:val="00807F1C"/>
    <w:rPr>
      <w:sz w:val="16"/>
      <w:szCs w:val="16"/>
    </w:rPr>
  </w:style>
  <w:style w:type="paragraph" w:styleId="CommentText">
    <w:name w:val="annotation text"/>
    <w:basedOn w:val="Normal"/>
    <w:link w:val="CommentTextChar"/>
    <w:uiPriority w:val="99"/>
    <w:unhideWhenUsed/>
    <w:rsid w:val="00807F1C"/>
    <w:pPr>
      <w:spacing w:line="240" w:lineRule="auto"/>
    </w:pPr>
    <w:rPr>
      <w:sz w:val="20"/>
      <w:szCs w:val="20"/>
    </w:rPr>
  </w:style>
  <w:style w:type="character" w:customStyle="1" w:styleId="CommentTextChar">
    <w:name w:val="Comment Text Char"/>
    <w:basedOn w:val="DefaultParagraphFont"/>
    <w:link w:val="CommentText"/>
    <w:uiPriority w:val="99"/>
    <w:rsid w:val="00807F1C"/>
    <w:rPr>
      <w:sz w:val="20"/>
      <w:szCs w:val="20"/>
    </w:rPr>
  </w:style>
  <w:style w:type="paragraph" w:styleId="Caption">
    <w:name w:val="caption"/>
    <w:basedOn w:val="Normal"/>
    <w:next w:val="Normal"/>
    <w:uiPriority w:val="35"/>
    <w:unhideWhenUsed/>
    <w:qFormat/>
    <w:rsid w:val="00807F1C"/>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C04195"/>
    <w:rPr>
      <w:b/>
      <w:bCs/>
    </w:rPr>
  </w:style>
  <w:style w:type="character" w:customStyle="1" w:styleId="CommentSubjectChar">
    <w:name w:val="Comment Subject Char"/>
    <w:basedOn w:val="CommentTextChar"/>
    <w:link w:val="CommentSubject"/>
    <w:uiPriority w:val="99"/>
    <w:semiHidden/>
    <w:rsid w:val="00C04195"/>
    <w:rPr>
      <w:b/>
      <w:bCs/>
      <w:sz w:val="20"/>
      <w:szCs w:val="20"/>
    </w:rPr>
  </w:style>
  <w:style w:type="character" w:styleId="Hyperlink">
    <w:name w:val="Hyperlink"/>
    <w:basedOn w:val="DefaultParagraphFont"/>
    <w:uiPriority w:val="99"/>
    <w:unhideWhenUsed/>
    <w:rsid w:val="002720B7"/>
    <w:rPr>
      <w:color w:val="0563C1" w:themeColor="hyperlink"/>
      <w:u w:val="single"/>
    </w:rPr>
  </w:style>
  <w:style w:type="character" w:customStyle="1" w:styleId="UnresolvedMention1">
    <w:name w:val="Unresolved Mention1"/>
    <w:basedOn w:val="DefaultParagraphFont"/>
    <w:uiPriority w:val="99"/>
    <w:semiHidden/>
    <w:unhideWhenUsed/>
    <w:rsid w:val="002720B7"/>
    <w:rPr>
      <w:color w:val="605E5C"/>
      <w:shd w:val="clear" w:color="auto" w:fill="E1DFDD"/>
    </w:rPr>
  </w:style>
  <w:style w:type="paragraph" w:styleId="Revision">
    <w:name w:val="Revision"/>
    <w:hidden/>
    <w:uiPriority w:val="99"/>
    <w:semiHidden/>
    <w:rsid w:val="00405FC1"/>
    <w:pPr>
      <w:spacing w:after="0" w:line="240" w:lineRule="auto"/>
    </w:pPr>
  </w:style>
  <w:style w:type="character" w:styleId="FollowedHyperlink">
    <w:name w:val="FollowedHyperlink"/>
    <w:basedOn w:val="DefaultParagraphFont"/>
    <w:uiPriority w:val="99"/>
    <w:semiHidden/>
    <w:unhideWhenUsed/>
    <w:rsid w:val="00EA448A"/>
    <w:rPr>
      <w:color w:val="954F72" w:themeColor="followedHyperlink"/>
      <w:u w:val="single"/>
    </w:rPr>
  </w:style>
  <w:style w:type="character" w:styleId="PlaceholderText">
    <w:name w:val="Placeholder Text"/>
    <w:basedOn w:val="DefaultParagraphFont"/>
    <w:uiPriority w:val="99"/>
    <w:semiHidden/>
    <w:rsid w:val="005166BA"/>
    <w:rPr>
      <w:color w:val="808080"/>
    </w:rPr>
  </w:style>
  <w:style w:type="paragraph" w:customStyle="1" w:styleId="NRELTableCaption">
    <w:name w:val="NREL_Table_Caption"/>
    <w:basedOn w:val="Caption"/>
    <w:next w:val="NRELBodyText"/>
    <w:qFormat/>
    <w:rsid w:val="00780775"/>
    <w:pPr>
      <w:keepNext/>
      <w:autoSpaceDE w:val="0"/>
      <w:autoSpaceDN w:val="0"/>
      <w:adjustRightInd w:val="0"/>
      <w:spacing w:before="120" w:after="120"/>
      <w:jc w:val="center"/>
    </w:pPr>
    <w:rPr>
      <w:rFonts w:ascii="Arial" w:eastAsia="Times" w:hAnsi="Arial" w:cs="Times New Roman"/>
      <w:b/>
      <w:bCs/>
      <w:i w:val="0"/>
      <w:color w:val="000000" w:themeColor="text1"/>
      <w:sz w:val="20"/>
    </w:rPr>
  </w:style>
  <w:style w:type="paragraph" w:customStyle="1" w:styleId="NRELBullet01">
    <w:name w:val="NREL_Bullet_01"/>
    <w:basedOn w:val="ListBullet"/>
    <w:qFormat/>
    <w:rsid w:val="008646F1"/>
    <w:pPr>
      <w:numPr>
        <w:numId w:val="0"/>
      </w:numPr>
      <w:spacing w:after="120" w:line="240" w:lineRule="auto"/>
      <w:ind w:left="720" w:hanging="360"/>
    </w:pPr>
    <w:rPr>
      <w:rFonts w:ascii="Times New Roman" w:eastAsia="Times" w:hAnsi="Times New Roman" w:cs="Times New Roman"/>
      <w:color w:val="000000" w:themeColor="text1"/>
      <w:sz w:val="24"/>
      <w:szCs w:val="24"/>
    </w:rPr>
  </w:style>
  <w:style w:type="paragraph" w:styleId="ListBullet">
    <w:name w:val="List Bullet"/>
    <w:basedOn w:val="Normal"/>
    <w:uiPriority w:val="99"/>
    <w:semiHidden/>
    <w:unhideWhenUsed/>
    <w:rsid w:val="008646F1"/>
    <w:pPr>
      <w:numPr>
        <w:numId w:val="9"/>
      </w:numPr>
      <w:ind w:left="360" w:hanging="360"/>
      <w:contextualSpacing/>
    </w:pPr>
  </w:style>
  <w:style w:type="paragraph" w:styleId="FootnoteText">
    <w:name w:val="footnote text"/>
    <w:basedOn w:val="Normal"/>
    <w:link w:val="FootnoteTextChar"/>
    <w:uiPriority w:val="99"/>
    <w:semiHidden/>
    <w:unhideWhenUsed/>
    <w:rsid w:val="00A82C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2C9C"/>
    <w:rPr>
      <w:sz w:val="20"/>
      <w:szCs w:val="20"/>
    </w:rPr>
  </w:style>
  <w:style w:type="character" w:styleId="FootnoteReference">
    <w:name w:val="footnote reference"/>
    <w:basedOn w:val="DefaultParagraphFont"/>
    <w:uiPriority w:val="99"/>
    <w:semiHidden/>
    <w:unhideWhenUsed/>
    <w:rsid w:val="00A82C9C"/>
    <w:rPr>
      <w:vertAlign w:val="superscript"/>
    </w:rPr>
  </w:style>
  <w:style w:type="table" w:customStyle="1" w:styleId="TableGrid1">
    <w:name w:val="Table Grid1"/>
    <w:basedOn w:val="TableNormal"/>
    <w:next w:val="TableGrid"/>
    <w:uiPriority w:val="39"/>
    <w:rsid w:val="00901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12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ED1CF260BBE624EB3CA4DCF1BF39F63" ma:contentTypeVersion="0" ma:contentTypeDescription="Create a new document." ma:contentTypeScope="" ma:versionID="bdd32543f584579f51c86b2317c5313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6d9b406-8ab6-4e35-b189-c607f551e6ff"/>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CE582-0D94-44B5-9345-6BA496E75850}">
  <ds:schemaRefs>
    <ds:schemaRef ds:uri="http://schemas.microsoft.com/sharepoint/v3/contenttype/forms"/>
  </ds:schemaRefs>
</ds:datastoreItem>
</file>

<file path=customXml/itemProps2.xml><?xml version="1.0" encoding="utf-8"?>
<ds:datastoreItem xmlns:ds="http://schemas.openxmlformats.org/officeDocument/2006/customXml" ds:itemID="{ED5D889E-EEBA-4D78-B01A-9C8FF07DA495}">
  <ds:schemaRefs>
    <ds:schemaRef ds:uri="http://schemas.microsoft.com/sharepoint/events"/>
  </ds:schemaRefs>
</ds:datastoreItem>
</file>

<file path=customXml/itemProps3.xml><?xml version="1.0" encoding="utf-8"?>
<ds:datastoreItem xmlns:ds="http://schemas.openxmlformats.org/officeDocument/2006/customXml" ds:itemID="{733DBB70-9DC2-4A04-8717-AD54F60F5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30CCBA-27A2-4618-BF41-898A86971EF9}">
  <ds:schemaRefs>
    <ds:schemaRef ds:uri="http://schemas.microsoft.com/office/2006/metadata/properties"/>
    <ds:schemaRef ds:uri="http://schemas.microsoft.com/office/infopath/2007/PartnerControls"/>
    <ds:schemaRef ds:uri="c6d9b406-8ab6-4e35-b189-c607f551e6ff"/>
    <ds:schemaRef ds:uri="http://schemas.microsoft.com/sharepoint/v3"/>
  </ds:schemaRefs>
</ds:datastoreItem>
</file>

<file path=customXml/itemProps5.xml><?xml version="1.0" encoding="utf-8"?>
<ds:datastoreItem xmlns:ds="http://schemas.openxmlformats.org/officeDocument/2006/customXml" ds:itemID="{139151D5-BDD1-4044-8BA9-1EE7118F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Hampson, Anne</dc:creator>
  <cp:keywords/>
  <dc:description/>
  <cp:lastModifiedBy>Michael Muller</cp:lastModifiedBy>
  <cp:revision>2</cp:revision>
  <cp:lastPrinted>2020-03-04T16:57:00Z</cp:lastPrinted>
  <dcterms:created xsi:type="dcterms:W3CDTF">2020-05-16T14:28:00Z</dcterms:created>
  <dcterms:modified xsi:type="dcterms:W3CDTF">2020-05-23T14:07:00Z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0x010100AF7C8BCB51422E4B914852FD1E00CB69</vt:lpwstr>
  </property>
</Properties>
</file>