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026B" w14:textId="72081116" w:rsidR="005500ED" w:rsidRPr="00AA7584" w:rsidRDefault="006B516D" w:rsidP="00AA7584">
      <w:pPr>
        <w:pStyle w:val="Heading1"/>
      </w:pPr>
      <w:r w:rsidRPr="00AA7584">
        <w:t>TRN Resource:</w:t>
      </w:r>
      <w:r w:rsidR="005500ED" w:rsidRPr="00AA7584">
        <w:t xml:space="preserve"> </w:t>
      </w:r>
      <w:r w:rsidR="00B165C4">
        <w:t xml:space="preserve">Grouped Hazard </w:t>
      </w:r>
      <w:r w:rsidR="005500ED" w:rsidRPr="00AA7584">
        <w:t>Outage Frequency</w:t>
      </w:r>
      <w:r w:rsidRPr="00AA7584">
        <w:t xml:space="preserve"> Values</w:t>
      </w:r>
    </w:p>
    <w:p w14:paraId="11365CF6" w14:textId="78A9CA38" w:rsidR="000D4095" w:rsidRDefault="000D4095" w:rsidP="000D4095">
      <w:pPr>
        <w:pStyle w:val="Heading2"/>
      </w:pPr>
      <w:r>
        <w:t>Overview</w:t>
      </w:r>
    </w:p>
    <w:p w14:paraId="1D998F4B" w14:textId="20B02DDE" w:rsidR="00C01000" w:rsidRDefault="00D8660C" w:rsidP="00D8660C">
      <w:r w:rsidRPr="00D8660C">
        <w:t xml:space="preserve">The grouped hazards and threats approach </w:t>
      </w:r>
      <w:r>
        <w:t xml:space="preserve">within the </w:t>
      </w:r>
      <w:r w:rsidR="009655B4">
        <w:t>Technical Resilience Navigator (TRN)</w:t>
      </w:r>
      <w:r>
        <w:t xml:space="preserve"> </w:t>
      </w:r>
      <w:r w:rsidR="00C01000">
        <w:t>considers</w:t>
      </w:r>
      <w:r>
        <w:t xml:space="preserve"> </w:t>
      </w:r>
      <w:r w:rsidRPr="00D8660C">
        <w:t xml:space="preserve">aggregate sets of hazards and threats that have the potential to impact energy and water </w:t>
      </w:r>
      <w:r>
        <w:t xml:space="preserve">supply </w:t>
      </w:r>
      <w:r w:rsidRPr="00D8660C">
        <w:t>systems. Rather than identifying specific hazards and threats and their individual frequencies, the aggregate frequency of all hazards and threats associated with a given outage duration is estimated</w:t>
      </w:r>
      <w:r>
        <w:t xml:space="preserve">. </w:t>
      </w:r>
    </w:p>
    <w:p w14:paraId="6C923ED0" w14:textId="1DF3C93A" w:rsidR="00D8660C" w:rsidRDefault="00340E20" w:rsidP="00D8660C">
      <w:r>
        <w:t>G</w:t>
      </w:r>
      <w:r w:rsidR="00D8660C">
        <w:t>rouped hazard frequencies are likely to vary by region and site, so where possible, data entered in the TRN should reflect local data and experiences.</w:t>
      </w:r>
      <w:r w:rsidR="008F6596">
        <w:t xml:space="preserve"> </w:t>
      </w:r>
      <w:r w:rsidR="000910DD">
        <w:t xml:space="preserve">However, if site-specific data are not available, this document provides frequency values that can serve as fallbacks. </w:t>
      </w:r>
      <w:r w:rsidR="008F6596">
        <w:t xml:space="preserve">Note that the TRN screening analysis only includes frequencies greater than or equal to 1 in 1,000 years, so outage durations that are less frequent are not included in the tables below. </w:t>
      </w:r>
    </w:p>
    <w:p w14:paraId="2F824CDA" w14:textId="6D991485" w:rsidR="000D4095" w:rsidRDefault="000D4095" w:rsidP="000D4095">
      <w:pPr>
        <w:pStyle w:val="Heading2"/>
      </w:pPr>
      <w:r>
        <w:t>Electricity</w:t>
      </w:r>
    </w:p>
    <w:p w14:paraId="1B2B9419" w14:textId="31E1AF76" w:rsidR="005500ED" w:rsidRDefault="005500ED">
      <w:r>
        <w:t xml:space="preserve">Based on an analysis of the United States Nuclear Regulatory Commission’s </w:t>
      </w:r>
      <w:hyperlink r:id="rId11" w:history="1">
        <w:r w:rsidRPr="005500ED">
          <w:rPr>
            <w:rStyle w:val="Hyperlink"/>
          </w:rPr>
          <w:t>Reactor Operational Experience Results</w:t>
        </w:r>
      </w:hyperlink>
      <w:r>
        <w:t xml:space="preserve"> and the </w:t>
      </w:r>
      <w:hyperlink r:id="rId12" w:history="1">
        <w:r w:rsidR="00DF5AA3">
          <w:rPr>
            <w:rStyle w:val="Hyperlink"/>
          </w:rPr>
          <w:t>1987-2018 Loss of Offsite Power data</w:t>
        </w:r>
      </w:hyperlink>
      <w:r>
        <w:t xml:space="preserve">, the </w:t>
      </w:r>
      <w:r w:rsidR="00470A3F">
        <w:t>following</w:t>
      </w:r>
      <w:r>
        <w:t xml:space="preserve"> values </w:t>
      </w:r>
      <w:r w:rsidR="000910DD">
        <w:t xml:space="preserve">may be used </w:t>
      </w:r>
      <w:r>
        <w:t>in the Risk Assessment module if site-specific frequencies are not available or reliable</w:t>
      </w:r>
      <w:r w:rsidR="0024298C">
        <w:t xml:space="preserve"> for </w:t>
      </w:r>
      <w:r w:rsidR="00613031">
        <w:t>different</w:t>
      </w:r>
      <w:r w:rsidR="0024298C">
        <w:t xml:space="preserve"> </w:t>
      </w:r>
      <w:r w:rsidR="00574525">
        <w:t xml:space="preserve">electricity </w:t>
      </w:r>
      <w:r w:rsidR="0024298C">
        <w:t>outage durations</w:t>
      </w:r>
      <w:r>
        <w:t>.</w:t>
      </w:r>
    </w:p>
    <w:tbl>
      <w:tblPr>
        <w:tblStyle w:val="TableGrid"/>
        <w:tblW w:w="5035" w:type="dxa"/>
        <w:jc w:val="center"/>
        <w:tblLook w:val="04A0" w:firstRow="1" w:lastRow="0" w:firstColumn="1" w:lastColumn="0" w:noHBand="0" w:noVBand="1"/>
      </w:tblPr>
      <w:tblGrid>
        <w:gridCol w:w="2272"/>
        <w:gridCol w:w="2763"/>
      </w:tblGrid>
      <w:tr w:rsidR="005500ED" w:rsidRPr="00BB19A1" w14:paraId="272F73FD" w14:textId="77777777" w:rsidTr="00907971">
        <w:trPr>
          <w:trHeight w:val="477"/>
          <w:jc w:val="center"/>
        </w:trPr>
        <w:tc>
          <w:tcPr>
            <w:tcW w:w="2272" w:type="dxa"/>
            <w:shd w:val="clear" w:color="auto" w:fill="A6A6A6" w:themeFill="background1" w:themeFillShade="A6"/>
            <w:vAlign w:val="center"/>
          </w:tcPr>
          <w:p w14:paraId="71DD32A9" w14:textId="77777777" w:rsidR="005500ED" w:rsidRPr="00BB19A1" w:rsidRDefault="005500ED" w:rsidP="00AF30BA">
            <w:pPr>
              <w:jc w:val="center"/>
              <w:rPr>
                <w:b/>
              </w:rPr>
            </w:pPr>
            <w:r>
              <w:rPr>
                <w:b/>
              </w:rPr>
              <w:t>Outage Duration</w:t>
            </w:r>
          </w:p>
        </w:tc>
        <w:tc>
          <w:tcPr>
            <w:tcW w:w="2763" w:type="dxa"/>
            <w:shd w:val="clear" w:color="auto" w:fill="A6A6A6" w:themeFill="background1" w:themeFillShade="A6"/>
            <w:vAlign w:val="center"/>
          </w:tcPr>
          <w:p w14:paraId="4DED6458" w14:textId="77777777" w:rsidR="005500ED" w:rsidRPr="00BB19A1" w:rsidRDefault="005500ED" w:rsidP="00AF30BA">
            <w:pPr>
              <w:jc w:val="center"/>
              <w:rPr>
                <w:b/>
              </w:rPr>
            </w:pPr>
            <w:r w:rsidRPr="00BB19A1">
              <w:rPr>
                <w:b/>
              </w:rPr>
              <w:t xml:space="preserve">Frequency of </w:t>
            </w:r>
            <w:r>
              <w:rPr>
                <w:b/>
              </w:rPr>
              <w:t>Occurrence</w:t>
            </w:r>
          </w:p>
        </w:tc>
      </w:tr>
      <w:tr w:rsidR="00A224B2" w14:paraId="713D84A9" w14:textId="77777777" w:rsidTr="00907971">
        <w:trPr>
          <w:trHeight w:val="429"/>
          <w:jc w:val="center"/>
        </w:trPr>
        <w:tc>
          <w:tcPr>
            <w:tcW w:w="2272" w:type="dxa"/>
            <w:vAlign w:val="center"/>
          </w:tcPr>
          <w:p w14:paraId="62817997" w14:textId="77777777" w:rsidR="00A224B2" w:rsidRPr="00470A3F" w:rsidRDefault="00A224B2" w:rsidP="00A224B2">
            <w:pPr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hour</w:t>
            </w:r>
          </w:p>
        </w:tc>
        <w:tc>
          <w:tcPr>
            <w:tcW w:w="2763" w:type="dxa"/>
            <w:vAlign w:val="center"/>
          </w:tcPr>
          <w:p w14:paraId="1C22770A" w14:textId="3A15012F" w:rsidR="00A224B2" w:rsidRPr="00470A3F" w:rsidRDefault="00A224B2" w:rsidP="00A2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(once a year)</w:t>
            </w:r>
          </w:p>
        </w:tc>
      </w:tr>
      <w:tr w:rsidR="00A224B2" w14:paraId="75AC1BAA" w14:textId="77777777" w:rsidTr="00907971">
        <w:trPr>
          <w:trHeight w:val="429"/>
          <w:jc w:val="center"/>
        </w:trPr>
        <w:tc>
          <w:tcPr>
            <w:tcW w:w="2272" w:type="dxa"/>
            <w:vAlign w:val="center"/>
          </w:tcPr>
          <w:p w14:paraId="601732EA" w14:textId="77777777" w:rsidR="00A224B2" w:rsidRPr="00470A3F" w:rsidRDefault="00A224B2" w:rsidP="00A224B2">
            <w:pPr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day</w:t>
            </w:r>
          </w:p>
        </w:tc>
        <w:tc>
          <w:tcPr>
            <w:tcW w:w="2763" w:type="dxa"/>
            <w:vAlign w:val="center"/>
          </w:tcPr>
          <w:p w14:paraId="37FE0C46" w14:textId="77777777" w:rsidR="00A224B2" w:rsidRPr="00470A3F" w:rsidRDefault="00A224B2" w:rsidP="00A2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Anticipated (</w:t>
            </w:r>
            <w:r w:rsidRPr="00470A3F">
              <w:rPr>
                <w:sz w:val="20"/>
                <w:szCs w:val="20"/>
              </w:rPr>
              <w:t>1 in 10 years</w:t>
            </w:r>
            <w:r>
              <w:rPr>
                <w:sz w:val="20"/>
                <w:szCs w:val="20"/>
              </w:rPr>
              <w:t>)</w:t>
            </w:r>
          </w:p>
          <w:p w14:paraId="7C376F0C" w14:textId="286BEFD8" w:rsidR="00A224B2" w:rsidRPr="00470A3F" w:rsidRDefault="00A224B2" w:rsidP="00A224B2">
            <w:pPr>
              <w:jc w:val="center"/>
              <w:rPr>
                <w:sz w:val="20"/>
                <w:szCs w:val="20"/>
              </w:rPr>
            </w:pPr>
          </w:p>
        </w:tc>
      </w:tr>
      <w:tr w:rsidR="00A224B2" w14:paraId="4573FE2A" w14:textId="77777777" w:rsidTr="00907971">
        <w:trPr>
          <w:trHeight w:val="429"/>
          <w:jc w:val="center"/>
        </w:trPr>
        <w:tc>
          <w:tcPr>
            <w:tcW w:w="2272" w:type="dxa"/>
            <w:vAlign w:val="center"/>
          </w:tcPr>
          <w:p w14:paraId="66AE2FC8" w14:textId="77777777" w:rsidR="00A224B2" w:rsidRPr="00470A3F" w:rsidRDefault="00A224B2" w:rsidP="00A224B2">
            <w:pPr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week</w:t>
            </w:r>
          </w:p>
        </w:tc>
        <w:tc>
          <w:tcPr>
            <w:tcW w:w="2763" w:type="dxa"/>
            <w:vAlign w:val="center"/>
          </w:tcPr>
          <w:p w14:paraId="66F01701" w14:textId="77777777" w:rsidR="00A224B2" w:rsidRPr="00470A3F" w:rsidRDefault="00A224B2" w:rsidP="00A2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Unlikely (</w:t>
            </w:r>
            <w:r w:rsidRPr="00470A3F">
              <w:rPr>
                <w:sz w:val="20"/>
                <w:szCs w:val="20"/>
              </w:rPr>
              <w:t>1 in 100 years</w:t>
            </w:r>
            <w:r>
              <w:rPr>
                <w:sz w:val="20"/>
                <w:szCs w:val="20"/>
              </w:rPr>
              <w:t>)</w:t>
            </w:r>
          </w:p>
          <w:p w14:paraId="21AB58A2" w14:textId="212924FA" w:rsidR="00A224B2" w:rsidRPr="00470A3F" w:rsidRDefault="00A224B2" w:rsidP="00A224B2">
            <w:pPr>
              <w:jc w:val="center"/>
              <w:rPr>
                <w:sz w:val="20"/>
                <w:szCs w:val="20"/>
              </w:rPr>
            </w:pPr>
          </w:p>
        </w:tc>
      </w:tr>
      <w:tr w:rsidR="00A224B2" w14:paraId="6641DDBA" w14:textId="77777777" w:rsidTr="00907971">
        <w:trPr>
          <w:trHeight w:val="429"/>
          <w:jc w:val="center"/>
        </w:trPr>
        <w:tc>
          <w:tcPr>
            <w:tcW w:w="2272" w:type="dxa"/>
            <w:vAlign w:val="center"/>
          </w:tcPr>
          <w:p w14:paraId="0DEA7DC2" w14:textId="77777777" w:rsidR="00A224B2" w:rsidRPr="00470A3F" w:rsidRDefault="00A224B2" w:rsidP="00A224B2">
            <w:pPr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month</w:t>
            </w:r>
          </w:p>
        </w:tc>
        <w:tc>
          <w:tcPr>
            <w:tcW w:w="2763" w:type="dxa"/>
            <w:vAlign w:val="center"/>
          </w:tcPr>
          <w:p w14:paraId="7B181746" w14:textId="4821D42C" w:rsidR="00A224B2" w:rsidRPr="00470A3F" w:rsidRDefault="00A224B2" w:rsidP="00A2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Extremely unlikely (</w:t>
            </w:r>
            <w:r w:rsidRPr="00470A3F">
              <w:rPr>
                <w:sz w:val="20"/>
                <w:szCs w:val="20"/>
              </w:rPr>
              <w:t>1 in 1,000 years</w:t>
            </w:r>
            <w:r>
              <w:rPr>
                <w:sz w:val="20"/>
                <w:szCs w:val="20"/>
              </w:rPr>
              <w:t>)</w:t>
            </w:r>
          </w:p>
        </w:tc>
      </w:tr>
      <w:tr w:rsidR="005A619F" w14:paraId="1362D15A" w14:textId="77777777" w:rsidTr="00907971">
        <w:trPr>
          <w:trHeight w:val="429"/>
          <w:jc w:val="center"/>
        </w:trPr>
        <w:tc>
          <w:tcPr>
            <w:tcW w:w="2272" w:type="dxa"/>
            <w:vAlign w:val="center"/>
          </w:tcPr>
          <w:p w14:paraId="4F6ECD5E" w14:textId="03311B22" w:rsidR="005A619F" w:rsidRPr="00470A3F" w:rsidRDefault="0070556F" w:rsidP="00A2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  <w:tc>
          <w:tcPr>
            <w:tcW w:w="2763" w:type="dxa"/>
            <w:vAlign w:val="center"/>
          </w:tcPr>
          <w:p w14:paraId="68C9738D" w14:textId="32275571" w:rsidR="005A619F" w:rsidRPr="00AA7584" w:rsidRDefault="004C2DBE" w:rsidP="00A224B2">
            <w:pPr>
              <w:jc w:val="center"/>
              <w:rPr>
                <w:i/>
                <w:iCs/>
                <w:sz w:val="20"/>
                <w:szCs w:val="20"/>
              </w:rPr>
            </w:pPr>
            <w:r w:rsidRPr="00AA7584">
              <w:rPr>
                <w:i/>
                <w:iCs/>
                <w:color w:val="AEAAAA" w:themeColor="background2" w:themeShade="BF"/>
                <w:sz w:val="20"/>
                <w:szCs w:val="20"/>
              </w:rPr>
              <w:t>&lt;&lt; 1 in 1,000 years</w:t>
            </w:r>
          </w:p>
        </w:tc>
      </w:tr>
    </w:tbl>
    <w:p w14:paraId="07E407CF" w14:textId="153C8C29" w:rsidR="005500ED" w:rsidRDefault="005500ED"/>
    <w:p w14:paraId="4ED9ABD4" w14:textId="4E236B37" w:rsidR="000D4095" w:rsidRDefault="000D4095" w:rsidP="000D4095">
      <w:pPr>
        <w:pStyle w:val="Heading2"/>
      </w:pPr>
      <w:r>
        <w:t>Natural Gas</w:t>
      </w:r>
    </w:p>
    <w:p w14:paraId="3FD4EC7B" w14:textId="71AEE6E0" w:rsidR="000D4095" w:rsidRDefault="00070072">
      <w:r>
        <w:t xml:space="preserve">Data included in </w:t>
      </w:r>
      <w:r w:rsidR="008F6596">
        <w:t xml:space="preserve">the </w:t>
      </w:r>
      <w:r>
        <w:t xml:space="preserve">report, </w:t>
      </w:r>
      <w:hyperlink r:id="rId13" w:history="1">
        <w:r w:rsidRPr="00070072">
          <w:rPr>
            <w:rStyle w:val="Hyperlink"/>
          </w:rPr>
          <w:t>Assessment of Natural Gas and Electric Distribution Service Reliability</w:t>
        </w:r>
      </w:hyperlink>
      <w:r>
        <w:t xml:space="preserve">, indicate that natural gas outages are quite rare, particularly in comparison to electricity outages. Table 1 in the report </w:t>
      </w:r>
      <w:r w:rsidR="003C2CE8">
        <w:t>suggests</w:t>
      </w:r>
      <w:r>
        <w:t xml:space="preserve"> that planned and unplanned natural gas outages are roughly 1/100 as frequent as planned and unplanned electricity outages. Given that data, the following values</w:t>
      </w:r>
      <w:r w:rsidR="00A3077D">
        <w:t xml:space="preserve"> may be used</w:t>
      </w:r>
      <w:r>
        <w:t xml:space="preserve"> if site-specific frequencies are not available or reliable for different natural gas outage durations.</w:t>
      </w:r>
      <w:r w:rsidR="008F6596">
        <w:t xml:space="preserve"> </w:t>
      </w:r>
    </w:p>
    <w:tbl>
      <w:tblPr>
        <w:tblStyle w:val="TableGrid"/>
        <w:tblW w:w="5035" w:type="dxa"/>
        <w:jc w:val="center"/>
        <w:tblLook w:val="04A0" w:firstRow="1" w:lastRow="0" w:firstColumn="1" w:lastColumn="0" w:noHBand="0" w:noVBand="1"/>
      </w:tblPr>
      <w:tblGrid>
        <w:gridCol w:w="2272"/>
        <w:gridCol w:w="2763"/>
      </w:tblGrid>
      <w:tr w:rsidR="00B03834" w:rsidRPr="00BB19A1" w14:paraId="50E13CBF" w14:textId="77777777" w:rsidTr="00B06A1A">
        <w:trPr>
          <w:trHeight w:val="477"/>
          <w:jc w:val="center"/>
        </w:trPr>
        <w:tc>
          <w:tcPr>
            <w:tcW w:w="2272" w:type="dxa"/>
            <w:shd w:val="clear" w:color="auto" w:fill="A6A6A6" w:themeFill="background1" w:themeFillShade="A6"/>
            <w:vAlign w:val="center"/>
          </w:tcPr>
          <w:p w14:paraId="39453C06" w14:textId="77777777" w:rsidR="00B03834" w:rsidRPr="00BB19A1" w:rsidRDefault="00B03834" w:rsidP="0038502C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lastRenderedPageBreak/>
              <w:t>Outage Duration</w:t>
            </w:r>
          </w:p>
        </w:tc>
        <w:tc>
          <w:tcPr>
            <w:tcW w:w="2763" w:type="dxa"/>
            <w:shd w:val="clear" w:color="auto" w:fill="A6A6A6" w:themeFill="background1" w:themeFillShade="A6"/>
            <w:vAlign w:val="center"/>
          </w:tcPr>
          <w:p w14:paraId="301C832E" w14:textId="77777777" w:rsidR="00B03834" w:rsidRPr="00BB19A1" w:rsidRDefault="00B03834" w:rsidP="0038502C">
            <w:pPr>
              <w:keepNext/>
              <w:jc w:val="center"/>
              <w:rPr>
                <w:b/>
              </w:rPr>
            </w:pPr>
            <w:r w:rsidRPr="00BB19A1">
              <w:rPr>
                <w:b/>
              </w:rPr>
              <w:t xml:space="preserve">Frequency of </w:t>
            </w:r>
            <w:r>
              <w:rPr>
                <w:b/>
              </w:rPr>
              <w:t>Occurrence</w:t>
            </w:r>
          </w:p>
        </w:tc>
      </w:tr>
      <w:tr w:rsidR="009F5C09" w14:paraId="50F55C63" w14:textId="77777777" w:rsidTr="00B06A1A">
        <w:trPr>
          <w:trHeight w:val="429"/>
          <w:jc w:val="center"/>
        </w:trPr>
        <w:tc>
          <w:tcPr>
            <w:tcW w:w="2272" w:type="dxa"/>
            <w:vAlign w:val="center"/>
          </w:tcPr>
          <w:p w14:paraId="6BE45EB3" w14:textId="77777777" w:rsidR="009F5C09" w:rsidRPr="00470A3F" w:rsidRDefault="009F5C09" w:rsidP="009F5C09">
            <w:pPr>
              <w:keepNext/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hour</w:t>
            </w:r>
          </w:p>
        </w:tc>
        <w:tc>
          <w:tcPr>
            <w:tcW w:w="2763" w:type="dxa"/>
            <w:vAlign w:val="center"/>
          </w:tcPr>
          <w:p w14:paraId="67F2C210" w14:textId="77777777" w:rsidR="009F5C09" w:rsidRPr="00470A3F" w:rsidRDefault="009F5C09" w:rsidP="009F5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Unlikely (</w:t>
            </w:r>
            <w:r w:rsidRPr="00470A3F">
              <w:rPr>
                <w:sz w:val="20"/>
                <w:szCs w:val="20"/>
              </w:rPr>
              <w:t>1 in 100 years</w:t>
            </w:r>
            <w:r>
              <w:rPr>
                <w:sz w:val="20"/>
                <w:szCs w:val="20"/>
              </w:rPr>
              <w:t>)</w:t>
            </w:r>
          </w:p>
          <w:p w14:paraId="3311E7C6" w14:textId="6083F16C" w:rsidR="009F5C09" w:rsidRPr="00470A3F" w:rsidRDefault="009F5C09" w:rsidP="009F5C09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9F5C09" w14:paraId="6152AE1B" w14:textId="77777777" w:rsidTr="00B06A1A">
        <w:trPr>
          <w:trHeight w:val="429"/>
          <w:jc w:val="center"/>
        </w:trPr>
        <w:tc>
          <w:tcPr>
            <w:tcW w:w="2272" w:type="dxa"/>
            <w:vAlign w:val="center"/>
          </w:tcPr>
          <w:p w14:paraId="6FE62A6A" w14:textId="77777777" w:rsidR="009F5C09" w:rsidRPr="00470A3F" w:rsidRDefault="009F5C09" w:rsidP="009F5C09">
            <w:pPr>
              <w:keepNext/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day</w:t>
            </w:r>
          </w:p>
        </w:tc>
        <w:tc>
          <w:tcPr>
            <w:tcW w:w="2763" w:type="dxa"/>
            <w:vAlign w:val="center"/>
          </w:tcPr>
          <w:p w14:paraId="585C205E" w14:textId="590FB289" w:rsidR="009F5C09" w:rsidRPr="00470A3F" w:rsidRDefault="009F5C09" w:rsidP="009F5C0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Extremely unlikely (</w:t>
            </w:r>
            <w:r w:rsidRPr="00470A3F">
              <w:rPr>
                <w:sz w:val="20"/>
                <w:szCs w:val="20"/>
              </w:rPr>
              <w:t>1 in 1,000 years</w:t>
            </w:r>
            <w:r>
              <w:rPr>
                <w:sz w:val="20"/>
                <w:szCs w:val="20"/>
              </w:rPr>
              <w:t>)</w:t>
            </w:r>
          </w:p>
        </w:tc>
      </w:tr>
      <w:tr w:rsidR="0070556F" w14:paraId="493CE2B1" w14:textId="77777777" w:rsidTr="00B06A1A">
        <w:trPr>
          <w:trHeight w:val="429"/>
          <w:jc w:val="center"/>
        </w:trPr>
        <w:tc>
          <w:tcPr>
            <w:tcW w:w="2272" w:type="dxa"/>
            <w:vAlign w:val="center"/>
          </w:tcPr>
          <w:p w14:paraId="7998DB8F" w14:textId="3DBB5470" w:rsidR="0070556F" w:rsidRPr="00470A3F" w:rsidRDefault="0070556F" w:rsidP="0070556F">
            <w:pPr>
              <w:keepNext/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week</w:t>
            </w:r>
          </w:p>
        </w:tc>
        <w:tc>
          <w:tcPr>
            <w:tcW w:w="2763" w:type="dxa"/>
            <w:vAlign w:val="center"/>
          </w:tcPr>
          <w:p w14:paraId="782BF402" w14:textId="534834AF" w:rsidR="0070556F" w:rsidRDefault="008D2901" w:rsidP="0070556F">
            <w:pPr>
              <w:keepNext/>
              <w:jc w:val="center"/>
              <w:rPr>
                <w:sz w:val="20"/>
                <w:szCs w:val="20"/>
              </w:rPr>
            </w:pPr>
            <w:r w:rsidRPr="00361FA9">
              <w:rPr>
                <w:i/>
                <w:iCs/>
                <w:color w:val="AEAAAA" w:themeColor="background2" w:themeShade="BF"/>
                <w:sz w:val="20"/>
                <w:szCs w:val="20"/>
              </w:rPr>
              <w:t>&lt;&lt; 1 in 1,000 years</w:t>
            </w:r>
          </w:p>
        </w:tc>
      </w:tr>
      <w:tr w:rsidR="0070556F" w14:paraId="6634F87C" w14:textId="77777777" w:rsidTr="00B06A1A">
        <w:trPr>
          <w:trHeight w:val="429"/>
          <w:jc w:val="center"/>
        </w:trPr>
        <w:tc>
          <w:tcPr>
            <w:tcW w:w="2272" w:type="dxa"/>
            <w:vAlign w:val="center"/>
          </w:tcPr>
          <w:p w14:paraId="1864C39E" w14:textId="56A311EC" w:rsidR="0070556F" w:rsidRPr="00470A3F" w:rsidRDefault="0070556F" w:rsidP="0070556F">
            <w:pPr>
              <w:keepNext/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month</w:t>
            </w:r>
          </w:p>
        </w:tc>
        <w:tc>
          <w:tcPr>
            <w:tcW w:w="2763" w:type="dxa"/>
            <w:vAlign w:val="center"/>
          </w:tcPr>
          <w:p w14:paraId="6CB13B18" w14:textId="1419F9BD" w:rsidR="0070556F" w:rsidRDefault="008D2901" w:rsidP="0070556F">
            <w:pPr>
              <w:keepNext/>
              <w:jc w:val="center"/>
              <w:rPr>
                <w:sz w:val="20"/>
                <w:szCs w:val="20"/>
              </w:rPr>
            </w:pPr>
            <w:r w:rsidRPr="00361FA9">
              <w:rPr>
                <w:i/>
                <w:iCs/>
                <w:color w:val="AEAAAA" w:themeColor="background2" w:themeShade="BF"/>
                <w:sz w:val="20"/>
                <w:szCs w:val="20"/>
              </w:rPr>
              <w:t>&lt;&lt; 1 in 1,000 years</w:t>
            </w:r>
          </w:p>
        </w:tc>
      </w:tr>
      <w:tr w:rsidR="0070556F" w14:paraId="01049B23" w14:textId="77777777" w:rsidTr="00B06A1A">
        <w:trPr>
          <w:trHeight w:val="429"/>
          <w:jc w:val="center"/>
        </w:trPr>
        <w:tc>
          <w:tcPr>
            <w:tcW w:w="2272" w:type="dxa"/>
            <w:vAlign w:val="center"/>
          </w:tcPr>
          <w:p w14:paraId="21C8A355" w14:textId="48F35E47" w:rsidR="0070556F" w:rsidRPr="00470A3F" w:rsidRDefault="0070556F" w:rsidP="0070556F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  <w:tc>
          <w:tcPr>
            <w:tcW w:w="2763" w:type="dxa"/>
            <w:vAlign w:val="center"/>
          </w:tcPr>
          <w:p w14:paraId="292EBC90" w14:textId="438E8B2C" w:rsidR="0070556F" w:rsidRDefault="008D2901" w:rsidP="0070556F">
            <w:pPr>
              <w:keepNext/>
              <w:jc w:val="center"/>
              <w:rPr>
                <w:sz w:val="20"/>
                <w:szCs w:val="20"/>
              </w:rPr>
            </w:pPr>
            <w:r w:rsidRPr="00361FA9">
              <w:rPr>
                <w:i/>
                <w:iCs/>
                <w:color w:val="AEAAAA" w:themeColor="background2" w:themeShade="BF"/>
                <w:sz w:val="20"/>
                <w:szCs w:val="20"/>
              </w:rPr>
              <w:t>&lt;&lt; 1 in 1,000 years</w:t>
            </w:r>
          </w:p>
        </w:tc>
      </w:tr>
    </w:tbl>
    <w:p w14:paraId="28CCA7B3" w14:textId="4E4A358C" w:rsidR="00B03834" w:rsidRDefault="00B03834"/>
    <w:p w14:paraId="4D0C355F" w14:textId="4BBAFE41" w:rsidR="000D4095" w:rsidRDefault="000D4095" w:rsidP="000D4095">
      <w:pPr>
        <w:pStyle w:val="Heading2"/>
      </w:pPr>
      <w:r>
        <w:t>Water</w:t>
      </w:r>
    </w:p>
    <w:p w14:paraId="7C7FA58F" w14:textId="43CD015A" w:rsidR="00B03834" w:rsidRDefault="00B53A68" w:rsidP="00B03834">
      <w:r>
        <w:t xml:space="preserve">Similar data for water outages are not readily available. Additionally, water outages are likely to be highly dependent on local system factors such as </w:t>
      </w:r>
      <w:r w:rsidR="0022648B">
        <w:t xml:space="preserve">infrastructure </w:t>
      </w:r>
      <w:r>
        <w:t>age</w:t>
      </w:r>
      <w:r w:rsidR="008F6596">
        <w:t>,</w:t>
      </w:r>
      <w:r>
        <w:t xml:space="preserve"> </w:t>
      </w:r>
      <w:proofErr w:type="gramStart"/>
      <w:r>
        <w:t>design</w:t>
      </w:r>
      <w:proofErr w:type="gramEnd"/>
      <w:r>
        <w:t xml:space="preserve"> and </w:t>
      </w:r>
      <w:r w:rsidR="00EB5E8B">
        <w:t>preventive</w:t>
      </w:r>
      <w:r>
        <w:t xml:space="preserve"> maintenance practices. However, in general, it is anticipated that water outages are likely to be less frequent tha</w:t>
      </w:r>
      <w:r w:rsidR="008F6596">
        <w:t>n</w:t>
      </w:r>
      <w:r>
        <w:t xml:space="preserve"> corresponding electricity outages. </w:t>
      </w:r>
      <w:r w:rsidR="00533D8C">
        <w:t>The following values may be used if site-specific frequencies are not available or reliable for different water outage durations.</w:t>
      </w:r>
    </w:p>
    <w:tbl>
      <w:tblPr>
        <w:tblStyle w:val="TableGrid"/>
        <w:tblW w:w="5035" w:type="dxa"/>
        <w:jc w:val="center"/>
        <w:tblLook w:val="04A0" w:firstRow="1" w:lastRow="0" w:firstColumn="1" w:lastColumn="0" w:noHBand="0" w:noVBand="1"/>
      </w:tblPr>
      <w:tblGrid>
        <w:gridCol w:w="2272"/>
        <w:gridCol w:w="2763"/>
      </w:tblGrid>
      <w:tr w:rsidR="00B03834" w:rsidRPr="00BB19A1" w14:paraId="0B6CCE86" w14:textId="77777777" w:rsidTr="00B06A1A">
        <w:trPr>
          <w:trHeight w:val="477"/>
          <w:jc w:val="center"/>
        </w:trPr>
        <w:tc>
          <w:tcPr>
            <w:tcW w:w="2272" w:type="dxa"/>
            <w:shd w:val="clear" w:color="auto" w:fill="A6A6A6" w:themeFill="background1" w:themeFillShade="A6"/>
            <w:vAlign w:val="center"/>
          </w:tcPr>
          <w:p w14:paraId="14A019E7" w14:textId="77777777" w:rsidR="00B03834" w:rsidRPr="00BB19A1" w:rsidRDefault="00B03834" w:rsidP="00B06A1A">
            <w:pPr>
              <w:jc w:val="center"/>
              <w:rPr>
                <w:b/>
              </w:rPr>
            </w:pPr>
            <w:r>
              <w:rPr>
                <w:b/>
              </w:rPr>
              <w:t>Outage Duration</w:t>
            </w:r>
          </w:p>
        </w:tc>
        <w:tc>
          <w:tcPr>
            <w:tcW w:w="2763" w:type="dxa"/>
            <w:shd w:val="clear" w:color="auto" w:fill="A6A6A6" w:themeFill="background1" w:themeFillShade="A6"/>
            <w:vAlign w:val="center"/>
          </w:tcPr>
          <w:p w14:paraId="5D0E5F59" w14:textId="77777777" w:rsidR="00B03834" w:rsidRPr="00BB19A1" w:rsidRDefault="00B03834" w:rsidP="00B06A1A">
            <w:pPr>
              <w:jc w:val="center"/>
              <w:rPr>
                <w:b/>
              </w:rPr>
            </w:pPr>
            <w:r w:rsidRPr="00BB19A1">
              <w:rPr>
                <w:b/>
              </w:rPr>
              <w:t xml:space="preserve">Frequency of </w:t>
            </w:r>
            <w:r>
              <w:rPr>
                <w:b/>
              </w:rPr>
              <w:t>Occurrence</w:t>
            </w:r>
          </w:p>
        </w:tc>
      </w:tr>
      <w:tr w:rsidR="00BF5E41" w14:paraId="6C597578" w14:textId="77777777" w:rsidTr="00B06A1A">
        <w:trPr>
          <w:trHeight w:val="429"/>
          <w:jc w:val="center"/>
        </w:trPr>
        <w:tc>
          <w:tcPr>
            <w:tcW w:w="2272" w:type="dxa"/>
            <w:vAlign w:val="center"/>
          </w:tcPr>
          <w:p w14:paraId="683BA173" w14:textId="77777777" w:rsidR="00BF5E41" w:rsidRPr="00470A3F" w:rsidRDefault="00BF5E41" w:rsidP="00BF5E41">
            <w:pPr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hour</w:t>
            </w:r>
          </w:p>
        </w:tc>
        <w:tc>
          <w:tcPr>
            <w:tcW w:w="2763" w:type="dxa"/>
            <w:vAlign w:val="center"/>
          </w:tcPr>
          <w:p w14:paraId="4AF5EFB0" w14:textId="77777777" w:rsidR="00BF5E41" w:rsidRPr="00470A3F" w:rsidRDefault="00BF5E41" w:rsidP="00BF5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Anticipated (</w:t>
            </w:r>
            <w:r w:rsidRPr="00470A3F">
              <w:rPr>
                <w:sz w:val="20"/>
                <w:szCs w:val="20"/>
              </w:rPr>
              <w:t>1 in 10 years</w:t>
            </w:r>
            <w:r>
              <w:rPr>
                <w:sz w:val="20"/>
                <w:szCs w:val="20"/>
              </w:rPr>
              <w:t>)</w:t>
            </w:r>
          </w:p>
          <w:p w14:paraId="52ADB083" w14:textId="5EAD50A1" w:rsidR="00BF5E41" w:rsidRPr="00470A3F" w:rsidRDefault="00BF5E41" w:rsidP="00BF5E41">
            <w:pPr>
              <w:jc w:val="center"/>
              <w:rPr>
                <w:sz w:val="20"/>
                <w:szCs w:val="20"/>
              </w:rPr>
            </w:pPr>
          </w:p>
        </w:tc>
      </w:tr>
      <w:tr w:rsidR="00BF5E41" w14:paraId="7C7F0118" w14:textId="77777777" w:rsidTr="00B06A1A">
        <w:trPr>
          <w:trHeight w:val="429"/>
          <w:jc w:val="center"/>
        </w:trPr>
        <w:tc>
          <w:tcPr>
            <w:tcW w:w="2272" w:type="dxa"/>
            <w:vAlign w:val="center"/>
          </w:tcPr>
          <w:p w14:paraId="3EFC5B4E" w14:textId="77777777" w:rsidR="00BF5E41" w:rsidRPr="00470A3F" w:rsidRDefault="00BF5E41" w:rsidP="00BF5E41">
            <w:pPr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day</w:t>
            </w:r>
          </w:p>
        </w:tc>
        <w:tc>
          <w:tcPr>
            <w:tcW w:w="2763" w:type="dxa"/>
            <w:vAlign w:val="center"/>
          </w:tcPr>
          <w:p w14:paraId="2DF8A5C6" w14:textId="77777777" w:rsidR="00BF5E41" w:rsidRPr="00470A3F" w:rsidRDefault="00BF5E41" w:rsidP="00BF5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Unlikely (</w:t>
            </w:r>
            <w:r w:rsidRPr="00470A3F">
              <w:rPr>
                <w:sz w:val="20"/>
                <w:szCs w:val="20"/>
              </w:rPr>
              <w:t>1 in 100 years</w:t>
            </w:r>
            <w:r>
              <w:rPr>
                <w:sz w:val="20"/>
                <w:szCs w:val="20"/>
              </w:rPr>
              <w:t>)</w:t>
            </w:r>
          </w:p>
          <w:p w14:paraId="3D763FEB" w14:textId="4A81026A" w:rsidR="00BF5E41" w:rsidRPr="00470A3F" w:rsidRDefault="00BF5E41" w:rsidP="00BF5E41">
            <w:pPr>
              <w:jc w:val="center"/>
              <w:rPr>
                <w:sz w:val="20"/>
                <w:szCs w:val="20"/>
              </w:rPr>
            </w:pPr>
          </w:p>
        </w:tc>
      </w:tr>
      <w:tr w:rsidR="00BF5E41" w14:paraId="5A98F008" w14:textId="77777777" w:rsidTr="00B06A1A">
        <w:trPr>
          <w:trHeight w:val="429"/>
          <w:jc w:val="center"/>
        </w:trPr>
        <w:tc>
          <w:tcPr>
            <w:tcW w:w="2272" w:type="dxa"/>
            <w:vAlign w:val="center"/>
          </w:tcPr>
          <w:p w14:paraId="2F59F70C" w14:textId="77777777" w:rsidR="00BF5E41" w:rsidRPr="00470A3F" w:rsidRDefault="00BF5E41" w:rsidP="00BF5E41">
            <w:pPr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week</w:t>
            </w:r>
          </w:p>
        </w:tc>
        <w:tc>
          <w:tcPr>
            <w:tcW w:w="2763" w:type="dxa"/>
            <w:vAlign w:val="center"/>
          </w:tcPr>
          <w:p w14:paraId="7B3FD345" w14:textId="3CB55AF4" w:rsidR="00BF5E41" w:rsidRPr="00470A3F" w:rsidRDefault="00BF5E41" w:rsidP="00BF5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Extremely unlikely (</w:t>
            </w:r>
            <w:r w:rsidRPr="00470A3F">
              <w:rPr>
                <w:sz w:val="20"/>
                <w:szCs w:val="20"/>
              </w:rPr>
              <w:t>1 in 1,000 years</w:t>
            </w:r>
            <w:r>
              <w:rPr>
                <w:sz w:val="20"/>
                <w:szCs w:val="20"/>
              </w:rPr>
              <w:t>)</w:t>
            </w:r>
          </w:p>
        </w:tc>
      </w:tr>
      <w:tr w:rsidR="0070556F" w14:paraId="3ECCAA12" w14:textId="77777777" w:rsidTr="00B06A1A">
        <w:trPr>
          <w:trHeight w:val="429"/>
          <w:jc w:val="center"/>
        </w:trPr>
        <w:tc>
          <w:tcPr>
            <w:tcW w:w="2272" w:type="dxa"/>
            <w:vAlign w:val="center"/>
          </w:tcPr>
          <w:p w14:paraId="796EADEA" w14:textId="72E5748E" w:rsidR="0070556F" w:rsidRPr="00470A3F" w:rsidRDefault="0070556F" w:rsidP="0070556F">
            <w:pPr>
              <w:jc w:val="center"/>
              <w:rPr>
                <w:sz w:val="20"/>
                <w:szCs w:val="20"/>
              </w:rPr>
            </w:pPr>
            <w:r w:rsidRPr="00470A3F">
              <w:rPr>
                <w:sz w:val="20"/>
                <w:szCs w:val="20"/>
              </w:rPr>
              <w:t>1 month</w:t>
            </w:r>
          </w:p>
        </w:tc>
        <w:tc>
          <w:tcPr>
            <w:tcW w:w="2763" w:type="dxa"/>
            <w:vAlign w:val="center"/>
          </w:tcPr>
          <w:p w14:paraId="2612EAF6" w14:textId="4E7DE3B6" w:rsidR="0070556F" w:rsidRDefault="008D2901" w:rsidP="0070556F">
            <w:pPr>
              <w:jc w:val="center"/>
              <w:rPr>
                <w:sz w:val="20"/>
                <w:szCs w:val="20"/>
              </w:rPr>
            </w:pPr>
            <w:r w:rsidRPr="00361FA9">
              <w:rPr>
                <w:i/>
                <w:iCs/>
                <w:color w:val="AEAAAA" w:themeColor="background2" w:themeShade="BF"/>
                <w:sz w:val="20"/>
                <w:szCs w:val="20"/>
              </w:rPr>
              <w:t>&lt;&lt; 1 in 1,000 years</w:t>
            </w:r>
          </w:p>
        </w:tc>
      </w:tr>
      <w:tr w:rsidR="0070556F" w14:paraId="0F414BB7" w14:textId="77777777" w:rsidTr="00B06A1A">
        <w:trPr>
          <w:trHeight w:val="429"/>
          <w:jc w:val="center"/>
        </w:trPr>
        <w:tc>
          <w:tcPr>
            <w:tcW w:w="2272" w:type="dxa"/>
            <w:vAlign w:val="center"/>
          </w:tcPr>
          <w:p w14:paraId="0955F8AE" w14:textId="67B572FB" w:rsidR="0070556F" w:rsidRPr="00470A3F" w:rsidRDefault="0070556F" w:rsidP="0070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  <w:tc>
          <w:tcPr>
            <w:tcW w:w="2763" w:type="dxa"/>
            <w:vAlign w:val="center"/>
          </w:tcPr>
          <w:p w14:paraId="4231E595" w14:textId="4E9596F5" w:rsidR="0070556F" w:rsidRDefault="008D2901" w:rsidP="0070556F">
            <w:pPr>
              <w:jc w:val="center"/>
              <w:rPr>
                <w:sz w:val="20"/>
                <w:szCs w:val="20"/>
              </w:rPr>
            </w:pPr>
            <w:r w:rsidRPr="00361FA9">
              <w:rPr>
                <w:i/>
                <w:iCs/>
                <w:color w:val="AEAAAA" w:themeColor="background2" w:themeShade="BF"/>
                <w:sz w:val="20"/>
                <w:szCs w:val="20"/>
              </w:rPr>
              <w:t>&lt;&lt; 1 in 1,000 years</w:t>
            </w:r>
          </w:p>
        </w:tc>
      </w:tr>
    </w:tbl>
    <w:p w14:paraId="00A6A262" w14:textId="77777777" w:rsidR="00B03834" w:rsidRPr="00B03834" w:rsidRDefault="00B03834" w:rsidP="00B03834"/>
    <w:sectPr w:rsidR="00B03834" w:rsidRPr="00B038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30BCD" w14:textId="77777777" w:rsidR="001E1CC1" w:rsidRDefault="001E1CC1" w:rsidP="00FC1EF0">
      <w:pPr>
        <w:spacing w:after="0" w:line="240" w:lineRule="auto"/>
      </w:pPr>
      <w:r>
        <w:separator/>
      </w:r>
    </w:p>
  </w:endnote>
  <w:endnote w:type="continuationSeparator" w:id="0">
    <w:p w14:paraId="4592E086" w14:textId="77777777" w:rsidR="001E1CC1" w:rsidRDefault="001E1CC1" w:rsidP="00FC1EF0">
      <w:pPr>
        <w:spacing w:after="0" w:line="240" w:lineRule="auto"/>
      </w:pPr>
      <w:r>
        <w:continuationSeparator/>
      </w:r>
    </w:p>
  </w:endnote>
  <w:endnote w:type="continuationNotice" w:id="1">
    <w:p w14:paraId="2A6AD32D" w14:textId="77777777" w:rsidR="001E1CC1" w:rsidRDefault="001E1C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297A3" w14:textId="77777777" w:rsidR="00AE228D" w:rsidRDefault="00AE2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6509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54D18" w14:textId="77777777" w:rsidR="00722942" w:rsidRDefault="00722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2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1B51DB" w14:textId="77777777" w:rsidR="00722942" w:rsidRDefault="00722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D17E0" w14:textId="77777777" w:rsidR="00AE228D" w:rsidRDefault="00AE2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D7737" w14:textId="77777777" w:rsidR="001E1CC1" w:rsidRDefault="001E1CC1" w:rsidP="00FC1EF0">
      <w:pPr>
        <w:spacing w:after="0" w:line="240" w:lineRule="auto"/>
      </w:pPr>
      <w:r>
        <w:separator/>
      </w:r>
    </w:p>
  </w:footnote>
  <w:footnote w:type="continuationSeparator" w:id="0">
    <w:p w14:paraId="7EF9D2AA" w14:textId="77777777" w:rsidR="001E1CC1" w:rsidRDefault="001E1CC1" w:rsidP="00FC1EF0">
      <w:pPr>
        <w:spacing w:after="0" w:line="240" w:lineRule="auto"/>
      </w:pPr>
      <w:r>
        <w:continuationSeparator/>
      </w:r>
    </w:p>
  </w:footnote>
  <w:footnote w:type="continuationNotice" w:id="1">
    <w:p w14:paraId="7BC74665" w14:textId="77777777" w:rsidR="001E1CC1" w:rsidRDefault="001E1C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13E40" w14:textId="77777777" w:rsidR="00AE228D" w:rsidRDefault="00AE2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D2463" w14:textId="77777777" w:rsidR="00FC1EF0" w:rsidRDefault="00FC1EF0" w:rsidP="00FC1EF0">
    <w:pPr>
      <w:pStyle w:val="Header"/>
    </w:pPr>
    <w:r>
      <w:rPr>
        <w:noProof/>
      </w:rPr>
      <w:drawing>
        <wp:inline distT="0" distB="0" distL="0" distR="0" wp14:anchorId="50E35062" wp14:editId="3B8F9698">
          <wp:extent cx="1304925" cy="4591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38659" cy="470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E42FB3">
      <w:rPr>
        <w:sz w:val="32"/>
      </w:rPr>
      <w:t>Technical Resilience Navigator</w:t>
    </w:r>
  </w:p>
  <w:p w14:paraId="7059BE68" w14:textId="77777777" w:rsidR="00FC1EF0" w:rsidRDefault="00FC1E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DB2A8" w14:textId="77777777" w:rsidR="00AE228D" w:rsidRDefault="00AE2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ED"/>
    <w:rsid w:val="00070072"/>
    <w:rsid w:val="000910DD"/>
    <w:rsid w:val="000D4095"/>
    <w:rsid w:val="000F7F17"/>
    <w:rsid w:val="00101C53"/>
    <w:rsid w:val="00161D6B"/>
    <w:rsid w:val="001A3E2D"/>
    <w:rsid w:val="001A4F4A"/>
    <w:rsid w:val="001E1CC1"/>
    <w:rsid w:val="0020567B"/>
    <w:rsid w:val="0022648B"/>
    <w:rsid w:val="00234650"/>
    <w:rsid w:val="0024298C"/>
    <w:rsid w:val="00254D48"/>
    <w:rsid w:val="002E0C2D"/>
    <w:rsid w:val="002E5843"/>
    <w:rsid w:val="0030529B"/>
    <w:rsid w:val="00340E20"/>
    <w:rsid w:val="0034293D"/>
    <w:rsid w:val="0038502C"/>
    <w:rsid w:val="003A0288"/>
    <w:rsid w:val="003C2CE8"/>
    <w:rsid w:val="00425EED"/>
    <w:rsid w:val="00470A3F"/>
    <w:rsid w:val="004C0905"/>
    <w:rsid w:val="004C2DBE"/>
    <w:rsid w:val="005155C0"/>
    <w:rsid w:val="00516E78"/>
    <w:rsid w:val="00533D8C"/>
    <w:rsid w:val="005500ED"/>
    <w:rsid w:val="005707B2"/>
    <w:rsid w:val="00572D73"/>
    <w:rsid w:val="00574525"/>
    <w:rsid w:val="005A619F"/>
    <w:rsid w:val="00613031"/>
    <w:rsid w:val="006B516D"/>
    <w:rsid w:val="006F27E0"/>
    <w:rsid w:val="0070556F"/>
    <w:rsid w:val="00722942"/>
    <w:rsid w:val="00782694"/>
    <w:rsid w:val="00793624"/>
    <w:rsid w:val="00855C5F"/>
    <w:rsid w:val="00867612"/>
    <w:rsid w:val="0088528B"/>
    <w:rsid w:val="008D2901"/>
    <w:rsid w:val="008F6596"/>
    <w:rsid w:val="00907971"/>
    <w:rsid w:val="00912FFD"/>
    <w:rsid w:val="009655B4"/>
    <w:rsid w:val="009A07C8"/>
    <w:rsid w:val="009F5C09"/>
    <w:rsid w:val="00A063AA"/>
    <w:rsid w:val="00A224B2"/>
    <w:rsid w:val="00A3077D"/>
    <w:rsid w:val="00A36443"/>
    <w:rsid w:val="00A84134"/>
    <w:rsid w:val="00A85170"/>
    <w:rsid w:val="00AA2839"/>
    <w:rsid w:val="00AA7584"/>
    <w:rsid w:val="00AB3FB0"/>
    <w:rsid w:val="00AE228D"/>
    <w:rsid w:val="00B036B5"/>
    <w:rsid w:val="00B03834"/>
    <w:rsid w:val="00B1101D"/>
    <w:rsid w:val="00B165C4"/>
    <w:rsid w:val="00B46B91"/>
    <w:rsid w:val="00B53A68"/>
    <w:rsid w:val="00B61592"/>
    <w:rsid w:val="00B95018"/>
    <w:rsid w:val="00BF5E41"/>
    <w:rsid w:val="00C01000"/>
    <w:rsid w:val="00C11487"/>
    <w:rsid w:val="00C517F2"/>
    <w:rsid w:val="00CE18F4"/>
    <w:rsid w:val="00CF3AEE"/>
    <w:rsid w:val="00D01591"/>
    <w:rsid w:val="00D8660C"/>
    <w:rsid w:val="00D97C87"/>
    <w:rsid w:val="00DF5AA3"/>
    <w:rsid w:val="00E25FB4"/>
    <w:rsid w:val="00E7224C"/>
    <w:rsid w:val="00E87EBC"/>
    <w:rsid w:val="00EB5E8B"/>
    <w:rsid w:val="00ED2840"/>
    <w:rsid w:val="00F011F8"/>
    <w:rsid w:val="00FC1EF0"/>
    <w:rsid w:val="00FC7682"/>
    <w:rsid w:val="00F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B7BBC0"/>
  <w15:chartTrackingRefBased/>
  <w15:docId w15:val="{9C8C5B6F-F7E0-47FB-B7E3-63BCF4E7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ED"/>
  </w:style>
  <w:style w:type="paragraph" w:styleId="Heading1">
    <w:name w:val="heading 1"/>
    <w:basedOn w:val="Normal"/>
    <w:next w:val="Normal"/>
    <w:link w:val="Heading1Char"/>
    <w:uiPriority w:val="9"/>
    <w:qFormat/>
    <w:rsid w:val="005500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500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0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EF0"/>
  </w:style>
  <w:style w:type="paragraph" w:styleId="Footer">
    <w:name w:val="footer"/>
    <w:basedOn w:val="Normal"/>
    <w:link w:val="FooterChar"/>
    <w:uiPriority w:val="99"/>
    <w:unhideWhenUsed/>
    <w:rsid w:val="00FC1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EF0"/>
  </w:style>
  <w:style w:type="character" w:styleId="FollowedHyperlink">
    <w:name w:val="FollowedHyperlink"/>
    <w:basedOn w:val="DefaultParagraphFont"/>
    <w:uiPriority w:val="99"/>
    <w:semiHidden/>
    <w:unhideWhenUsed/>
    <w:rsid w:val="00A063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3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D4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54D4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01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0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ti.energy/wp-content/uploads/2018/11/Assessment-of-Natural-Gas-Electric-Distribution-Service-Reliability-TopicalReport-Jul2018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nldigitallibrary.inl.gov/sites/sti/sti/Sort_18393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rcoe.inl.gov/resultsdb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8AF2047B31042B9EA8B659B641B95" ma:contentTypeVersion="4" ma:contentTypeDescription="Create a new document." ma:contentTypeScope="" ma:versionID="43805ffd4c982299101cbdaac514ff66">
  <xsd:schema xmlns:xsd="http://www.w3.org/2001/XMLSchema" xmlns:xs="http://www.w3.org/2001/XMLSchema" xmlns:p="http://schemas.microsoft.com/office/2006/metadata/properties" xmlns:ns2="00a6d2c3-a03d-4455-9e0e-5b2ea6e712ed" xmlns:ns3="be4daaa2-bc41-45a1-8510-840768e46a16" targetNamespace="http://schemas.microsoft.com/office/2006/metadata/properties" ma:root="true" ma:fieldsID="78c4fc0592cc034b4623561f2afca6e3" ns2:_="" ns3:_="">
    <xsd:import namespace="00a6d2c3-a03d-4455-9e0e-5b2ea6e712ed"/>
    <xsd:import namespace="be4daaa2-bc41-45a1-8510-840768e46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d2c3-a03d-4455-9e0e-5b2ea6e71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aaa2-bc41-45a1-8510-840768e46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daaa2-bc41-45a1-8510-840768e46a16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8AF2047B31042B9EA8B659B641B95" ma:contentTypeVersion="4" ma:contentTypeDescription="Create a new document." ma:contentTypeScope="" ma:versionID="43805ffd4c982299101cbdaac514ff66">
  <xsd:schema xmlns:xsd="http://www.w3.org/2001/XMLSchema" xmlns:xs="http://www.w3.org/2001/XMLSchema" xmlns:p="http://schemas.microsoft.com/office/2006/metadata/properties" xmlns:ns2="00a6d2c3-a03d-4455-9e0e-5b2ea6e712ed" xmlns:ns3="be4daaa2-bc41-45a1-8510-840768e46a16" targetNamespace="http://schemas.microsoft.com/office/2006/metadata/properties" ma:root="true" ma:fieldsID="78c4fc0592cc034b4623561f2afca6e3" ns2:_="" ns3:_="">
    <xsd:import namespace="00a6d2c3-a03d-4455-9e0e-5b2ea6e712ed"/>
    <xsd:import namespace="be4daaa2-bc41-45a1-8510-840768e46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d2c3-a03d-4455-9e0e-5b2ea6e71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aaa2-bc41-45a1-8510-840768e46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906B5-4A2A-42C6-A5FB-F7B334AF9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d2c3-a03d-4455-9e0e-5b2ea6e712ed"/>
    <ds:schemaRef ds:uri="be4daaa2-bc41-45a1-8510-840768e46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8BEE0-EB0B-4F26-BC29-EA4740784D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6A4D4-5795-46C5-89CE-5145D7269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B62FC-C50F-41AE-8BE7-7401A098BE5F}">
  <ds:schemaRefs>
    <ds:schemaRef ds:uri="be4daaa2-bc41-45a1-8510-840768e46a16"/>
    <ds:schemaRef ds:uri="00a6d2c3-a03d-4455-9e0e-5b2ea6e712ed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787595F-D229-4181-9B43-93ED478AF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d2c3-a03d-4455-9e0e-5b2ea6e712ed"/>
    <ds:schemaRef ds:uri="be4daaa2-bc41-45a1-8510-840768e46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Rotondo, Julia A</dc:creator>
  <cp:keywords/>
  <dc:description/>
  <cp:lastModifiedBy>Rabinowitz, Hannah S</cp:lastModifiedBy>
  <cp:revision>26</cp:revision>
  <dcterms:created xsi:type="dcterms:W3CDTF">2021-03-31T19:32:00Z</dcterms:created>
  <dcterms:modified xsi:type="dcterms:W3CDTF">2021-07-23T23:47:00Z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0x0101002C58AF2047B31042B9EA8B659B641B95</vt:lpwstr>
  </property>
  <property fmtid="{D5CDD505-2E9C-101B-9397-08002B2CF9AE}" pid="3" name="_AdHocReviewCycleID">
    <vt:i4>1294866275</vt:i4>
  </property>
  <property fmtid="{D5CDD505-2E9C-101B-9397-08002B2CF9AE}" pid="4" name="_NewReviewCycle">
    <vt:lpwstr/>
  </property>
  <property fmtid="{D5CDD505-2E9C-101B-9397-08002B2CF9AE}" pid="5" name="_EmailSubject">
    <vt:lpwstr>Updated/expanded TRN resource on grouped hazard frequencies</vt:lpwstr>
  </property>
  <property fmtid="{D5CDD505-2E9C-101B-9397-08002B2CF9AE}" pid="6" name="_AuthorEmail">
    <vt:lpwstr>Douglas.Elliott@pnnl.gov</vt:lpwstr>
  </property>
  <property fmtid="{D5CDD505-2E9C-101B-9397-08002B2CF9AE}" pid="7" name="_AuthorEmailDisplayName">
    <vt:lpwstr>Elliott, Douglas B</vt:lpwstr>
  </property>
  <property fmtid="{D5CDD505-2E9C-101B-9397-08002B2CF9AE}" pid="8" name="_ReviewingToolsShownOnce">
    <vt:lpwstr/>
  </property>
  <property fmtid="{D5CDD505-2E9C-101B-9397-08002B2CF9AE}" pid="9" name="Order">
    <vt:r8>64700</vt:r8>
  </property>
  <property fmtid="{D5CDD505-2E9C-101B-9397-08002B2CF9AE}" pid="10" name="ComplianceAssetId">
    <vt:lpwstr/>
  </property>
  <property fmtid="{D5CDD505-2E9C-101B-9397-08002B2CF9AE}" pid="11" name="_ExtendedDescription">
    <vt:lpwstr/>
  </property>
</Properties>
</file>